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DC64" w14:textId="77777777" w:rsidR="00E70143" w:rsidRDefault="00000000">
      <w:pPr>
        <w:pStyle w:val="BodyA"/>
        <w:jc w:val="center"/>
        <w:rPr>
          <w:b/>
          <w:bCs/>
          <w:sz w:val="26"/>
          <w:szCs w:val="26"/>
        </w:rPr>
      </w:pPr>
      <w:r>
        <w:rPr>
          <w:b/>
          <w:bCs/>
          <w:sz w:val="26"/>
          <w:szCs w:val="26"/>
        </w:rPr>
        <w:t>Town of Shelburne Energy Committee Meeting</w:t>
      </w:r>
    </w:p>
    <w:p w14:paraId="1DA5C671" w14:textId="77777777" w:rsidR="00E70143" w:rsidRDefault="00000000">
      <w:pPr>
        <w:pStyle w:val="BodyA"/>
        <w:jc w:val="center"/>
        <w:rPr>
          <w:b/>
          <w:bCs/>
          <w:sz w:val="26"/>
          <w:szCs w:val="26"/>
        </w:rPr>
      </w:pPr>
      <w:r>
        <w:rPr>
          <w:b/>
          <w:bCs/>
          <w:sz w:val="26"/>
          <w:szCs w:val="26"/>
        </w:rPr>
        <w:t>Minutes of Meeting held December 21, 2023</w:t>
      </w:r>
    </w:p>
    <w:p w14:paraId="7BBA95EB" w14:textId="77777777" w:rsidR="00E70143" w:rsidRDefault="00E70143">
      <w:pPr>
        <w:pStyle w:val="BodyA"/>
        <w:jc w:val="center"/>
        <w:rPr>
          <w:b/>
          <w:bCs/>
          <w:sz w:val="26"/>
          <w:szCs w:val="26"/>
        </w:rPr>
      </w:pPr>
    </w:p>
    <w:p w14:paraId="40165367" w14:textId="77777777" w:rsidR="00E70143" w:rsidRDefault="00000000">
      <w:pPr>
        <w:pStyle w:val="BodyA"/>
        <w:rPr>
          <w:b/>
          <w:bCs/>
          <w:sz w:val="26"/>
          <w:szCs w:val="26"/>
        </w:rPr>
      </w:pPr>
      <w:r>
        <w:rPr>
          <w:b/>
          <w:bCs/>
          <w:sz w:val="26"/>
          <w:szCs w:val="26"/>
        </w:rPr>
        <w:t>LOCATION:</w:t>
      </w:r>
      <w:r>
        <w:rPr>
          <w:b/>
          <w:bCs/>
          <w:sz w:val="26"/>
          <w:szCs w:val="26"/>
        </w:rPr>
        <w:tab/>
      </w:r>
      <w:r>
        <w:rPr>
          <w:b/>
          <w:bCs/>
          <w:sz w:val="26"/>
          <w:szCs w:val="26"/>
        </w:rPr>
        <w:tab/>
      </w:r>
      <w:r>
        <w:rPr>
          <w:b/>
          <w:bCs/>
          <w:sz w:val="26"/>
          <w:szCs w:val="26"/>
        </w:rPr>
        <w:tab/>
        <w:t>In person at Town Hall</w:t>
      </w:r>
    </w:p>
    <w:p w14:paraId="338A7A00" w14:textId="77777777" w:rsidR="00E70143" w:rsidRDefault="00E70143">
      <w:pPr>
        <w:pStyle w:val="BodyA"/>
        <w:rPr>
          <w:b/>
          <w:bCs/>
          <w:sz w:val="26"/>
          <w:szCs w:val="26"/>
        </w:rPr>
      </w:pPr>
    </w:p>
    <w:p w14:paraId="627714D6" w14:textId="77777777" w:rsidR="00E70143" w:rsidRDefault="00000000">
      <w:pPr>
        <w:pStyle w:val="BodyA"/>
        <w:rPr>
          <w:b/>
          <w:bCs/>
          <w:sz w:val="26"/>
          <w:szCs w:val="26"/>
        </w:rPr>
      </w:pPr>
      <w:r>
        <w:rPr>
          <w:b/>
          <w:bCs/>
          <w:sz w:val="26"/>
          <w:szCs w:val="26"/>
        </w:rPr>
        <w:t>PURPOSE:</w:t>
      </w:r>
      <w:r>
        <w:rPr>
          <w:b/>
          <w:bCs/>
          <w:sz w:val="26"/>
          <w:szCs w:val="26"/>
        </w:rPr>
        <w:tab/>
      </w:r>
      <w:r>
        <w:rPr>
          <w:b/>
          <w:bCs/>
          <w:sz w:val="26"/>
          <w:szCs w:val="26"/>
        </w:rPr>
        <w:tab/>
      </w:r>
      <w:r>
        <w:rPr>
          <w:b/>
          <w:bCs/>
          <w:sz w:val="26"/>
          <w:szCs w:val="26"/>
        </w:rPr>
        <w:tab/>
        <w:t>Monthly committee meeting</w:t>
      </w:r>
    </w:p>
    <w:p w14:paraId="0D67307C" w14:textId="77777777" w:rsidR="00E70143" w:rsidRDefault="00E70143">
      <w:pPr>
        <w:pStyle w:val="BodyA"/>
        <w:rPr>
          <w:b/>
          <w:bCs/>
          <w:sz w:val="26"/>
          <w:szCs w:val="26"/>
        </w:rPr>
      </w:pPr>
    </w:p>
    <w:p w14:paraId="4ABBB740" w14:textId="77777777" w:rsidR="00E70143" w:rsidRDefault="00000000">
      <w:pPr>
        <w:pStyle w:val="BodyA"/>
        <w:rPr>
          <w:sz w:val="26"/>
          <w:szCs w:val="26"/>
        </w:rPr>
      </w:pPr>
      <w:r>
        <w:rPr>
          <w:b/>
          <w:bCs/>
          <w:sz w:val="24"/>
          <w:szCs w:val="24"/>
        </w:rPr>
        <w:t xml:space="preserve">—Members present:   </w:t>
      </w:r>
      <w:r>
        <w:rPr>
          <w:sz w:val="26"/>
          <w:szCs w:val="26"/>
        </w:rPr>
        <w:t xml:space="preserve">Pat Stevenson, Phil </w:t>
      </w:r>
      <w:proofErr w:type="spellStart"/>
      <w:r>
        <w:rPr>
          <w:sz w:val="26"/>
          <w:szCs w:val="26"/>
        </w:rPr>
        <w:t>Bragdon</w:t>
      </w:r>
      <w:proofErr w:type="spellEnd"/>
      <w:r>
        <w:rPr>
          <w:sz w:val="26"/>
          <w:szCs w:val="26"/>
        </w:rPr>
        <w:t xml:space="preserve">, Jeff </w:t>
      </w:r>
      <w:proofErr w:type="spellStart"/>
      <w:r>
        <w:rPr>
          <w:sz w:val="26"/>
          <w:szCs w:val="26"/>
        </w:rPr>
        <w:t>Boettner</w:t>
      </w:r>
      <w:proofErr w:type="spellEnd"/>
    </w:p>
    <w:p w14:paraId="1E71E08D" w14:textId="77777777" w:rsidR="00E70143" w:rsidRDefault="00000000">
      <w:pPr>
        <w:pStyle w:val="BodyA"/>
        <w:rPr>
          <w:sz w:val="26"/>
          <w:szCs w:val="26"/>
        </w:rPr>
      </w:pPr>
      <w:r>
        <w:rPr>
          <w:b/>
          <w:bCs/>
          <w:sz w:val="24"/>
          <w:szCs w:val="24"/>
        </w:rPr>
        <w:t xml:space="preserve">—Members on remote: </w:t>
      </w:r>
      <w:r>
        <w:rPr>
          <w:sz w:val="24"/>
          <w:szCs w:val="24"/>
        </w:rPr>
        <w:t>Tom Johnson</w:t>
      </w:r>
    </w:p>
    <w:p w14:paraId="11C053F2" w14:textId="77777777" w:rsidR="00E70143" w:rsidRDefault="00000000">
      <w:pPr>
        <w:pStyle w:val="BodyA"/>
        <w:rPr>
          <w:sz w:val="26"/>
          <w:szCs w:val="26"/>
        </w:rPr>
      </w:pPr>
      <w:r>
        <w:rPr>
          <w:sz w:val="26"/>
          <w:szCs w:val="26"/>
        </w:rPr>
        <w:t>—</w:t>
      </w:r>
      <w:r>
        <w:rPr>
          <w:b/>
          <w:bCs/>
          <w:sz w:val="26"/>
          <w:szCs w:val="26"/>
        </w:rPr>
        <w:t xml:space="preserve">Observers/Guest:  </w:t>
      </w:r>
      <w:r>
        <w:rPr>
          <w:sz w:val="26"/>
          <w:szCs w:val="26"/>
        </w:rPr>
        <w:t xml:space="preserve">Cynthia </w:t>
      </w:r>
      <w:proofErr w:type="spellStart"/>
      <w:r>
        <w:rPr>
          <w:sz w:val="26"/>
          <w:szCs w:val="26"/>
        </w:rPr>
        <w:t>Boettner</w:t>
      </w:r>
      <w:proofErr w:type="spellEnd"/>
      <w:r>
        <w:rPr>
          <w:sz w:val="26"/>
          <w:szCs w:val="26"/>
        </w:rPr>
        <w:t xml:space="preserve">, Cyndee Fand, Lynn </w:t>
      </w:r>
      <w:proofErr w:type="spellStart"/>
      <w:r>
        <w:rPr>
          <w:sz w:val="26"/>
          <w:szCs w:val="26"/>
        </w:rPr>
        <w:t>Benander</w:t>
      </w:r>
      <w:proofErr w:type="spellEnd"/>
    </w:p>
    <w:p w14:paraId="1A6132C6" w14:textId="77777777" w:rsidR="00E70143" w:rsidRDefault="00E70143">
      <w:pPr>
        <w:pStyle w:val="BodyA"/>
        <w:rPr>
          <w:sz w:val="26"/>
          <w:szCs w:val="26"/>
        </w:rPr>
      </w:pPr>
    </w:p>
    <w:p w14:paraId="1DE590D3" w14:textId="77777777" w:rsidR="00E70143" w:rsidRDefault="00000000">
      <w:pPr>
        <w:pStyle w:val="BodyA"/>
        <w:numPr>
          <w:ilvl w:val="0"/>
          <w:numId w:val="2"/>
        </w:numPr>
        <w:rPr>
          <w:b/>
          <w:bCs/>
          <w:sz w:val="26"/>
          <w:szCs w:val="26"/>
        </w:rPr>
      </w:pPr>
      <w:r>
        <w:rPr>
          <w:b/>
          <w:bCs/>
          <w:sz w:val="26"/>
          <w:szCs w:val="26"/>
        </w:rPr>
        <w:t xml:space="preserve"> Call to order:  </w:t>
      </w:r>
      <w:r>
        <w:rPr>
          <w:sz w:val="26"/>
          <w:szCs w:val="26"/>
        </w:rPr>
        <w:t xml:space="preserve">Jeff </w:t>
      </w:r>
      <w:proofErr w:type="spellStart"/>
      <w:r>
        <w:rPr>
          <w:sz w:val="26"/>
          <w:szCs w:val="26"/>
        </w:rPr>
        <w:t>Boettner</w:t>
      </w:r>
      <w:proofErr w:type="spellEnd"/>
      <w:r>
        <w:rPr>
          <w:sz w:val="26"/>
          <w:szCs w:val="26"/>
        </w:rPr>
        <w:t xml:space="preserve"> called the meeting to order at 7:05 PM</w:t>
      </w:r>
    </w:p>
    <w:p w14:paraId="0AF1BFA7" w14:textId="77777777" w:rsidR="00E70143" w:rsidRDefault="00E70143">
      <w:pPr>
        <w:pStyle w:val="BodyA"/>
        <w:rPr>
          <w:sz w:val="26"/>
          <w:szCs w:val="26"/>
        </w:rPr>
      </w:pPr>
    </w:p>
    <w:p w14:paraId="77522AB4" w14:textId="77777777" w:rsidR="00E70143" w:rsidRDefault="00000000">
      <w:pPr>
        <w:pStyle w:val="BodyA"/>
        <w:rPr>
          <w:sz w:val="26"/>
          <w:szCs w:val="26"/>
        </w:rPr>
      </w:pPr>
      <w:r>
        <w:rPr>
          <w:b/>
          <w:bCs/>
          <w:sz w:val="26"/>
          <w:szCs w:val="26"/>
        </w:rPr>
        <w:t xml:space="preserve">2.    Approval of minutes:  </w:t>
      </w:r>
      <w:r>
        <w:rPr>
          <w:sz w:val="26"/>
          <w:szCs w:val="26"/>
        </w:rPr>
        <w:t>Minutes of the Energy Committee meeting held</w:t>
      </w:r>
    </w:p>
    <w:p w14:paraId="263D2EB5" w14:textId="77777777" w:rsidR="00E70143" w:rsidRDefault="00000000">
      <w:pPr>
        <w:pStyle w:val="BodyA"/>
        <w:rPr>
          <w:sz w:val="26"/>
          <w:szCs w:val="26"/>
        </w:rPr>
      </w:pPr>
      <w:r>
        <w:rPr>
          <w:sz w:val="26"/>
          <w:szCs w:val="26"/>
        </w:rPr>
        <w:t xml:space="preserve">on 11/16/23 were reviewed.  A motion to approve with a minor edit was made by Phil </w:t>
      </w:r>
      <w:proofErr w:type="spellStart"/>
      <w:r>
        <w:rPr>
          <w:sz w:val="26"/>
          <w:szCs w:val="26"/>
        </w:rPr>
        <w:t>Bragdon</w:t>
      </w:r>
      <w:proofErr w:type="spellEnd"/>
      <w:r>
        <w:rPr>
          <w:sz w:val="26"/>
          <w:szCs w:val="26"/>
        </w:rPr>
        <w:t>, seconded by Pat Stevenson, and approved unanimously.</w:t>
      </w:r>
    </w:p>
    <w:p w14:paraId="14359E36" w14:textId="77777777" w:rsidR="00E70143" w:rsidRDefault="00E70143">
      <w:pPr>
        <w:pStyle w:val="BodyA"/>
        <w:rPr>
          <w:sz w:val="26"/>
          <w:szCs w:val="26"/>
        </w:rPr>
      </w:pPr>
    </w:p>
    <w:p w14:paraId="680349E4" w14:textId="77777777" w:rsidR="00E70143" w:rsidRDefault="00000000">
      <w:pPr>
        <w:pStyle w:val="BodyA"/>
        <w:rPr>
          <w:b/>
          <w:bCs/>
          <w:sz w:val="26"/>
          <w:szCs w:val="26"/>
        </w:rPr>
      </w:pPr>
      <w:r>
        <w:rPr>
          <w:b/>
          <w:bCs/>
          <w:sz w:val="26"/>
          <w:szCs w:val="26"/>
        </w:rPr>
        <w:t>3.    Old business:</w:t>
      </w:r>
    </w:p>
    <w:p w14:paraId="6136AC95" w14:textId="77777777" w:rsidR="00E70143" w:rsidRDefault="00E70143">
      <w:pPr>
        <w:pStyle w:val="BodyA"/>
        <w:rPr>
          <w:b/>
          <w:bCs/>
          <w:sz w:val="26"/>
          <w:szCs w:val="26"/>
        </w:rPr>
      </w:pPr>
    </w:p>
    <w:p w14:paraId="0987BA88" w14:textId="77777777" w:rsidR="00E70143" w:rsidRDefault="00000000">
      <w:pPr>
        <w:pStyle w:val="BodyA"/>
        <w:rPr>
          <w:b/>
          <w:bCs/>
          <w:sz w:val="26"/>
          <w:szCs w:val="26"/>
          <w:u w:val="single"/>
        </w:rPr>
      </w:pPr>
      <w:r>
        <w:rPr>
          <w:b/>
          <w:bCs/>
          <w:sz w:val="26"/>
          <w:szCs w:val="26"/>
          <w:u w:val="single"/>
        </w:rPr>
        <w:t xml:space="preserve">Solar panels with Lynn </w:t>
      </w:r>
      <w:proofErr w:type="spellStart"/>
      <w:r>
        <w:rPr>
          <w:b/>
          <w:bCs/>
          <w:sz w:val="26"/>
          <w:szCs w:val="26"/>
          <w:u w:val="single"/>
        </w:rPr>
        <w:t>Benander</w:t>
      </w:r>
      <w:proofErr w:type="spellEnd"/>
      <w:r>
        <w:rPr>
          <w:b/>
          <w:bCs/>
          <w:sz w:val="26"/>
          <w:szCs w:val="26"/>
          <w:u w:val="single"/>
        </w:rPr>
        <w:t xml:space="preserve">, President Co-op </w:t>
      </w:r>
      <w:proofErr w:type="gramStart"/>
      <w:r>
        <w:rPr>
          <w:b/>
          <w:bCs/>
          <w:sz w:val="26"/>
          <w:szCs w:val="26"/>
          <w:u w:val="single"/>
        </w:rPr>
        <w:t>Power</w:t>
      </w:r>
      <w:proofErr w:type="gramEnd"/>
      <w:r>
        <w:rPr>
          <w:b/>
          <w:bCs/>
          <w:sz w:val="26"/>
          <w:szCs w:val="26"/>
          <w:u w:val="single"/>
        </w:rPr>
        <w:t xml:space="preserve"> and Northeast Biodiesel</w:t>
      </w:r>
    </w:p>
    <w:p w14:paraId="370BA42F" w14:textId="77777777" w:rsidR="00E70143" w:rsidRDefault="00000000">
      <w:pPr>
        <w:pStyle w:val="BodyA"/>
        <w:rPr>
          <w:sz w:val="26"/>
          <w:szCs w:val="26"/>
        </w:rPr>
      </w:pPr>
      <w:r>
        <w:rPr>
          <w:sz w:val="26"/>
          <w:szCs w:val="26"/>
        </w:rPr>
        <w:t xml:space="preserve">Lynn gave a brief presentation based on the attached document, </w:t>
      </w:r>
    </w:p>
    <w:p w14:paraId="54A6826E" w14:textId="77777777" w:rsidR="00E70143" w:rsidRDefault="00000000">
      <w:pPr>
        <w:pStyle w:val="BodyA"/>
        <w:rPr>
          <w:sz w:val="26"/>
          <w:szCs w:val="26"/>
        </w:rPr>
      </w:pPr>
      <w:r>
        <w:rPr>
          <w:rFonts w:ascii="Arial Unicode MS" w:hAnsi="Arial Unicode MS"/>
          <w:sz w:val="26"/>
          <w:szCs w:val="26"/>
          <w:rtl/>
          <w:lang w:val="ar-SA"/>
        </w:rPr>
        <w:t>“</w:t>
      </w:r>
      <w:r>
        <w:rPr>
          <w:b/>
          <w:bCs/>
          <w:sz w:val="26"/>
          <w:szCs w:val="26"/>
        </w:rPr>
        <w:t xml:space="preserve">Understand Your Solar Options in Shelburne, </w:t>
      </w:r>
      <w:proofErr w:type="gramStart"/>
      <w:r>
        <w:rPr>
          <w:b/>
          <w:bCs/>
          <w:sz w:val="26"/>
          <w:szCs w:val="26"/>
        </w:rPr>
        <w:t>MA”,</w:t>
      </w:r>
      <w:proofErr w:type="gramEnd"/>
      <w:r>
        <w:rPr>
          <w:sz w:val="26"/>
          <w:szCs w:val="26"/>
        </w:rPr>
        <w:t xml:space="preserve"> that she put together for our committee. The document lists solar options, websites to check for more info, financing, and what to watch out for before you sign on for any solar option.  </w:t>
      </w:r>
    </w:p>
    <w:p w14:paraId="12E68A42" w14:textId="77777777" w:rsidR="00E70143" w:rsidRDefault="00E70143">
      <w:pPr>
        <w:pStyle w:val="BodyA"/>
        <w:rPr>
          <w:sz w:val="26"/>
          <w:szCs w:val="26"/>
        </w:rPr>
      </w:pPr>
    </w:p>
    <w:p w14:paraId="3152C6B7" w14:textId="77777777" w:rsidR="00E70143" w:rsidRDefault="00000000">
      <w:pPr>
        <w:pStyle w:val="BodyA"/>
        <w:rPr>
          <w:sz w:val="26"/>
          <w:szCs w:val="26"/>
        </w:rPr>
      </w:pPr>
      <w:r>
        <w:rPr>
          <w:sz w:val="26"/>
          <w:szCs w:val="26"/>
        </w:rPr>
        <w:t xml:space="preserve">She also informed the committee about a community solar option via </w:t>
      </w:r>
      <w:proofErr w:type="spellStart"/>
      <w:r>
        <w:rPr>
          <w:b/>
          <w:bCs/>
          <w:sz w:val="26"/>
          <w:szCs w:val="26"/>
        </w:rPr>
        <w:t>Sunwealth</w:t>
      </w:r>
      <w:proofErr w:type="spellEnd"/>
      <w:r>
        <w:rPr>
          <w:b/>
          <w:bCs/>
          <w:sz w:val="26"/>
          <w:szCs w:val="26"/>
        </w:rPr>
        <w:t xml:space="preserve"> Community Solar based out of Cambridge, MA. </w:t>
      </w:r>
      <w:r>
        <w:rPr>
          <w:sz w:val="26"/>
          <w:szCs w:val="26"/>
        </w:rPr>
        <w:t xml:space="preserve"> Details of that organization are also attached.  </w:t>
      </w:r>
    </w:p>
    <w:p w14:paraId="4F9E31EC" w14:textId="77777777" w:rsidR="00E70143" w:rsidRDefault="00E70143">
      <w:pPr>
        <w:pStyle w:val="BodyA"/>
        <w:rPr>
          <w:sz w:val="26"/>
          <w:szCs w:val="26"/>
        </w:rPr>
      </w:pPr>
    </w:p>
    <w:p w14:paraId="02EE039A" w14:textId="5267046A" w:rsidR="00E70143" w:rsidRDefault="00000000">
      <w:pPr>
        <w:pStyle w:val="BodyA"/>
        <w:rPr>
          <w:sz w:val="26"/>
          <w:szCs w:val="26"/>
        </w:rPr>
      </w:pPr>
      <w:r>
        <w:rPr>
          <w:sz w:val="26"/>
          <w:szCs w:val="26"/>
        </w:rPr>
        <w:t xml:space="preserve">The committee discussed having Lynn work with us in the future re solar options for residents.  The possibility of doing a solar forum in 2024 will be put on the agenda for our March meeting.  It should be noted that no funding can be provided from CFP grant money for outreach efforts involving </w:t>
      </w:r>
      <w:r w:rsidR="00757121">
        <w:rPr>
          <w:sz w:val="26"/>
          <w:szCs w:val="26"/>
        </w:rPr>
        <w:t xml:space="preserve">strictly </w:t>
      </w:r>
      <w:r>
        <w:rPr>
          <w:sz w:val="26"/>
          <w:szCs w:val="26"/>
        </w:rPr>
        <w:t xml:space="preserve">solar per our conversations with All in Energy crew.  </w:t>
      </w:r>
    </w:p>
    <w:p w14:paraId="000CEEC2" w14:textId="77777777" w:rsidR="00E70143" w:rsidRDefault="00E70143">
      <w:pPr>
        <w:pStyle w:val="BodyA"/>
        <w:rPr>
          <w:sz w:val="26"/>
          <w:szCs w:val="26"/>
        </w:rPr>
      </w:pPr>
    </w:p>
    <w:p w14:paraId="0B304AB8" w14:textId="77777777" w:rsidR="00E70143" w:rsidRDefault="00E70143">
      <w:pPr>
        <w:pStyle w:val="BodyA"/>
        <w:rPr>
          <w:sz w:val="26"/>
          <w:szCs w:val="26"/>
        </w:rPr>
      </w:pPr>
    </w:p>
    <w:p w14:paraId="56AF2ED5" w14:textId="77777777" w:rsidR="00E70143" w:rsidRDefault="00E70143">
      <w:pPr>
        <w:pStyle w:val="BodyA"/>
        <w:rPr>
          <w:sz w:val="26"/>
          <w:szCs w:val="26"/>
        </w:rPr>
      </w:pPr>
    </w:p>
    <w:p w14:paraId="19A480E1" w14:textId="77777777" w:rsidR="00E70143" w:rsidRDefault="00E70143">
      <w:pPr>
        <w:pStyle w:val="BodyA"/>
        <w:rPr>
          <w:sz w:val="26"/>
          <w:szCs w:val="26"/>
        </w:rPr>
      </w:pPr>
    </w:p>
    <w:p w14:paraId="56F0EB4A" w14:textId="77777777" w:rsidR="00E70143" w:rsidRDefault="00E70143">
      <w:pPr>
        <w:pStyle w:val="BodyA"/>
        <w:rPr>
          <w:sz w:val="26"/>
          <w:szCs w:val="26"/>
        </w:rPr>
      </w:pPr>
    </w:p>
    <w:p w14:paraId="737F4E85" w14:textId="77777777" w:rsidR="00E70143" w:rsidRDefault="00E70143">
      <w:pPr>
        <w:pStyle w:val="BodyA"/>
        <w:rPr>
          <w:sz w:val="26"/>
          <w:szCs w:val="26"/>
        </w:rPr>
      </w:pPr>
    </w:p>
    <w:p w14:paraId="75F43FF2" w14:textId="77777777" w:rsidR="00E70143" w:rsidRDefault="00E70143">
      <w:pPr>
        <w:pStyle w:val="BodyA"/>
        <w:rPr>
          <w:b/>
          <w:bCs/>
          <w:sz w:val="26"/>
          <w:szCs w:val="26"/>
          <w:u w:val="single"/>
        </w:rPr>
      </w:pPr>
    </w:p>
    <w:p w14:paraId="36461BE1" w14:textId="77777777" w:rsidR="00E70143" w:rsidRDefault="00000000">
      <w:pPr>
        <w:pStyle w:val="BodyA"/>
        <w:rPr>
          <w:b/>
          <w:bCs/>
          <w:sz w:val="26"/>
          <w:szCs w:val="26"/>
          <w:u w:val="single"/>
        </w:rPr>
      </w:pPr>
      <w:r>
        <w:rPr>
          <w:b/>
          <w:bCs/>
          <w:sz w:val="26"/>
          <w:szCs w:val="26"/>
          <w:u w:val="single"/>
        </w:rPr>
        <w:t>Mass Save Community First Update/Budget</w:t>
      </w:r>
    </w:p>
    <w:p w14:paraId="3AA84F0B" w14:textId="77777777" w:rsidR="00E70143" w:rsidRDefault="00000000">
      <w:pPr>
        <w:pStyle w:val="BodyA"/>
        <w:rPr>
          <w:sz w:val="26"/>
          <w:szCs w:val="26"/>
        </w:rPr>
      </w:pPr>
      <w:r>
        <w:rPr>
          <w:sz w:val="26"/>
          <w:szCs w:val="26"/>
        </w:rPr>
        <w:t xml:space="preserve">The committee welcomed Cyndee Fand who is our new Energy Advocate beginning January 2024.  Cynthia has put together a list of responsibilities for the Energy Advocate which were approved by the All in Energy crew and she has discussed these responsibilities with Cyndee.  See the attached document </w:t>
      </w:r>
      <w:r>
        <w:rPr>
          <w:b/>
          <w:bCs/>
          <w:sz w:val="26"/>
          <w:szCs w:val="26"/>
        </w:rPr>
        <w:t xml:space="preserve">“Shelburne Energy Efficiency Advocate Duties for 2024” </w:t>
      </w:r>
      <w:r>
        <w:rPr>
          <w:sz w:val="26"/>
          <w:szCs w:val="26"/>
        </w:rPr>
        <w:t xml:space="preserve">for details.  </w:t>
      </w:r>
    </w:p>
    <w:p w14:paraId="65ED3DB3" w14:textId="77777777" w:rsidR="00E70143" w:rsidRDefault="00E70143">
      <w:pPr>
        <w:pStyle w:val="BodyA"/>
        <w:rPr>
          <w:sz w:val="26"/>
          <w:szCs w:val="26"/>
        </w:rPr>
      </w:pPr>
    </w:p>
    <w:p w14:paraId="5964DAA9" w14:textId="77777777" w:rsidR="00E70143" w:rsidRDefault="00000000">
      <w:pPr>
        <w:pStyle w:val="BodyA"/>
        <w:rPr>
          <w:sz w:val="26"/>
          <w:szCs w:val="26"/>
        </w:rPr>
      </w:pPr>
      <w:r>
        <w:rPr>
          <w:sz w:val="26"/>
          <w:szCs w:val="26"/>
        </w:rPr>
        <w:t xml:space="preserve">The All in Energy crew will work with Cyndee re onboarding and training.  </w:t>
      </w:r>
    </w:p>
    <w:p w14:paraId="0D256F0C" w14:textId="77777777" w:rsidR="00E70143" w:rsidRDefault="00E70143">
      <w:pPr>
        <w:pStyle w:val="BodyA"/>
        <w:rPr>
          <w:sz w:val="26"/>
          <w:szCs w:val="26"/>
        </w:rPr>
      </w:pPr>
    </w:p>
    <w:p w14:paraId="7021D72E" w14:textId="77777777" w:rsidR="00E70143" w:rsidRDefault="00000000">
      <w:pPr>
        <w:pStyle w:val="BodyA"/>
        <w:rPr>
          <w:sz w:val="26"/>
          <w:szCs w:val="26"/>
        </w:rPr>
      </w:pPr>
      <w:r>
        <w:rPr>
          <w:sz w:val="26"/>
          <w:szCs w:val="26"/>
        </w:rPr>
        <w:t xml:space="preserve">Cynthia also provided the committee with year-end </w:t>
      </w:r>
      <w:r>
        <w:rPr>
          <w:b/>
          <w:bCs/>
          <w:sz w:val="26"/>
          <w:szCs w:val="26"/>
        </w:rPr>
        <w:t>“Community First Partnership Notes”</w:t>
      </w:r>
      <w:r>
        <w:rPr>
          <w:sz w:val="26"/>
          <w:szCs w:val="26"/>
        </w:rPr>
        <w:t xml:space="preserve"> which are attached.  </w:t>
      </w:r>
    </w:p>
    <w:p w14:paraId="5D48E5E9" w14:textId="77777777" w:rsidR="00E70143" w:rsidRDefault="00E70143">
      <w:pPr>
        <w:pStyle w:val="BodyA"/>
        <w:rPr>
          <w:sz w:val="26"/>
          <w:szCs w:val="26"/>
        </w:rPr>
      </w:pPr>
    </w:p>
    <w:p w14:paraId="50A9128E" w14:textId="77777777" w:rsidR="00E70143" w:rsidRDefault="00000000">
      <w:pPr>
        <w:pStyle w:val="BodyA"/>
        <w:rPr>
          <w:sz w:val="26"/>
          <w:szCs w:val="26"/>
        </w:rPr>
      </w:pPr>
      <w:r>
        <w:rPr>
          <w:sz w:val="26"/>
          <w:szCs w:val="26"/>
        </w:rPr>
        <w:t>Tom presented a brief update on the CFP budget, which at the time was near zero as we await the Q2 and Q3 payments from Eversource, which will bring the balance up to about $7700.</w:t>
      </w:r>
    </w:p>
    <w:p w14:paraId="0139B58B" w14:textId="77777777" w:rsidR="00E70143" w:rsidRDefault="00E70143">
      <w:pPr>
        <w:pStyle w:val="BodyA"/>
        <w:rPr>
          <w:color w:val="FF2600"/>
          <w:sz w:val="26"/>
          <w:szCs w:val="26"/>
          <w:u w:color="FF2600"/>
        </w:rPr>
      </w:pPr>
    </w:p>
    <w:p w14:paraId="1DF654D0" w14:textId="77777777" w:rsidR="00E70143" w:rsidRDefault="00000000">
      <w:pPr>
        <w:pStyle w:val="BodyA"/>
        <w:rPr>
          <w:b/>
          <w:bCs/>
          <w:sz w:val="26"/>
          <w:szCs w:val="26"/>
          <w:u w:val="single"/>
        </w:rPr>
      </w:pPr>
      <w:r>
        <w:rPr>
          <w:b/>
          <w:bCs/>
          <w:sz w:val="26"/>
          <w:szCs w:val="26"/>
          <w:u w:val="single"/>
        </w:rPr>
        <w:t>LED Streetlights - update</w:t>
      </w:r>
    </w:p>
    <w:p w14:paraId="0E2075B3" w14:textId="77777777" w:rsidR="00E70143" w:rsidRDefault="00000000">
      <w:pPr>
        <w:pStyle w:val="BodyA"/>
        <w:rPr>
          <w:sz w:val="26"/>
          <w:szCs w:val="26"/>
        </w:rPr>
      </w:pPr>
      <w:r>
        <w:rPr>
          <w:sz w:val="26"/>
          <w:szCs w:val="26"/>
        </w:rPr>
        <w:t xml:space="preserve">Jeff reported that the </w:t>
      </w:r>
      <w:proofErr w:type="spellStart"/>
      <w:r>
        <w:rPr>
          <w:sz w:val="26"/>
          <w:szCs w:val="26"/>
        </w:rPr>
        <w:t>Realterm</w:t>
      </w:r>
      <w:proofErr w:type="spellEnd"/>
      <w:r>
        <w:rPr>
          <w:sz w:val="26"/>
          <w:szCs w:val="26"/>
        </w:rPr>
        <w:t xml:space="preserve"> Energy person that the streetlight committee was working with is no longer working for this company and that RTE is closed until early </w:t>
      </w:r>
      <w:proofErr w:type="gramStart"/>
      <w:r>
        <w:rPr>
          <w:sz w:val="26"/>
          <w:szCs w:val="26"/>
        </w:rPr>
        <w:t>January,</w:t>
      </w:r>
      <w:proofErr w:type="gramEnd"/>
      <w:r>
        <w:rPr>
          <w:sz w:val="26"/>
          <w:szCs w:val="26"/>
        </w:rPr>
        <w:t xml:space="preserve"> 2024.  The committee plans to meet with RTE in January to discuss the following:</w:t>
      </w:r>
    </w:p>
    <w:p w14:paraId="0E50139B" w14:textId="77777777" w:rsidR="00E70143" w:rsidRDefault="00000000">
      <w:pPr>
        <w:pStyle w:val="BodyA"/>
        <w:rPr>
          <w:sz w:val="26"/>
          <w:szCs w:val="26"/>
        </w:rPr>
      </w:pPr>
      <w:r>
        <w:rPr>
          <w:sz w:val="26"/>
          <w:szCs w:val="26"/>
        </w:rPr>
        <w:tab/>
        <w:t xml:space="preserve">—options for lights </w:t>
      </w:r>
    </w:p>
    <w:p w14:paraId="310CECA6" w14:textId="77777777" w:rsidR="00E70143" w:rsidRDefault="00000000">
      <w:pPr>
        <w:pStyle w:val="BodyA"/>
        <w:rPr>
          <w:sz w:val="26"/>
          <w:szCs w:val="26"/>
        </w:rPr>
      </w:pPr>
      <w:r>
        <w:rPr>
          <w:sz w:val="26"/>
          <w:szCs w:val="26"/>
        </w:rPr>
        <w:tab/>
        <w:t>—adding fixtures for dimming</w:t>
      </w:r>
    </w:p>
    <w:p w14:paraId="57DF7B80" w14:textId="77777777" w:rsidR="00E70143" w:rsidRDefault="00000000">
      <w:pPr>
        <w:pStyle w:val="BodyA"/>
        <w:rPr>
          <w:sz w:val="26"/>
          <w:szCs w:val="26"/>
        </w:rPr>
      </w:pPr>
      <w:r>
        <w:rPr>
          <w:sz w:val="26"/>
          <w:szCs w:val="26"/>
        </w:rPr>
        <w:t xml:space="preserve">The lights inventory has been completed and there is a total of 102 lights thus far, </w:t>
      </w:r>
      <w:proofErr w:type="gramStart"/>
      <w:r>
        <w:rPr>
          <w:sz w:val="26"/>
          <w:szCs w:val="26"/>
        </w:rPr>
        <w:t>albeit,</w:t>
      </w:r>
      <w:proofErr w:type="gramEnd"/>
      <w:r>
        <w:rPr>
          <w:sz w:val="26"/>
          <w:szCs w:val="26"/>
        </w:rPr>
        <w:t xml:space="preserve"> there are a few lights that are questionable as to whether they are the town’s responsibility.  Those include some church streetlights and lights at the Grange.</w:t>
      </w:r>
    </w:p>
    <w:p w14:paraId="3391C1DE" w14:textId="77777777" w:rsidR="00E70143" w:rsidRDefault="00E70143">
      <w:pPr>
        <w:pStyle w:val="BodyA"/>
        <w:rPr>
          <w:sz w:val="26"/>
          <w:szCs w:val="26"/>
        </w:rPr>
      </w:pPr>
    </w:p>
    <w:p w14:paraId="79C73424" w14:textId="77777777" w:rsidR="00E70143" w:rsidRDefault="00000000">
      <w:pPr>
        <w:pStyle w:val="BodyA"/>
        <w:rPr>
          <w:b/>
          <w:bCs/>
          <w:sz w:val="26"/>
          <w:szCs w:val="26"/>
          <w:u w:val="single"/>
        </w:rPr>
      </w:pPr>
      <w:r>
        <w:rPr>
          <w:b/>
          <w:bCs/>
          <w:sz w:val="26"/>
          <w:szCs w:val="26"/>
          <w:u w:val="single"/>
        </w:rPr>
        <w:t>Committee membership</w:t>
      </w:r>
    </w:p>
    <w:p w14:paraId="6A2848C1" w14:textId="77777777" w:rsidR="00E70143" w:rsidRDefault="00000000">
      <w:pPr>
        <w:pStyle w:val="BodyA"/>
        <w:rPr>
          <w:sz w:val="26"/>
          <w:szCs w:val="26"/>
        </w:rPr>
      </w:pPr>
      <w:r>
        <w:rPr>
          <w:sz w:val="26"/>
          <w:szCs w:val="26"/>
        </w:rPr>
        <w:t xml:space="preserve">Phil mentioned that he knows someone who may be interested in joining the </w:t>
      </w:r>
    </w:p>
    <w:p w14:paraId="267C01BC" w14:textId="77777777" w:rsidR="00E70143" w:rsidRDefault="00000000">
      <w:pPr>
        <w:pStyle w:val="BodyA"/>
        <w:rPr>
          <w:sz w:val="26"/>
          <w:szCs w:val="26"/>
        </w:rPr>
      </w:pPr>
      <w:r>
        <w:rPr>
          <w:sz w:val="26"/>
          <w:szCs w:val="26"/>
        </w:rPr>
        <w:t>Energy Committee and will keep us posted on that.</w:t>
      </w:r>
    </w:p>
    <w:p w14:paraId="7E5B592B" w14:textId="77777777" w:rsidR="00E70143" w:rsidRDefault="00E70143">
      <w:pPr>
        <w:pStyle w:val="BodyA"/>
        <w:rPr>
          <w:sz w:val="26"/>
          <w:szCs w:val="26"/>
        </w:rPr>
      </w:pPr>
    </w:p>
    <w:p w14:paraId="1178B897" w14:textId="77777777" w:rsidR="00E70143" w:rsidRDefault="00000000">
      <w:pPr>
        <w:pStyle w:val="BodyA"/>
        <w:rPr>
          <w:b/>
          <w:bCs/>
          <w:sz w:val="26"/>
          <w:szCs w:val="26"/>
          <w:u w:val="single"/>
        </w:rPr>
      </w:pPr>
      <w:r>
        <w:rPr>
          <w:b/>
          <w:bCs/>
          <w:sz w:val="26"/>
          <w:szCs w:val="26"/>
          <w:u w:val="single"/>
        </w:rPr>
        <w:t xml:space="preserve">New Business </w:t>
      </w:r>
    </w:p>
    <w:p w14:paraId="5F4E36F8" w14:textId="77777777" w:rsidR="00E70143" w:rsidRDefault="00000000">
      <w:pPr>
        <w:pStyle w:val="BodyA"/>
        <w:rPr>
          <w:sz w:val="26"/>
          <w:szCs w:val="26"/>
        </w:rPr>
      </w:pPr>
      <w:r>
        <w:rPr>
          <w:sz w:val="26"/>
          <w:szCs w:val="26"/>
        </w:rPr>
        <w:t xml:space="preserve">Tom encouraged all members to review an email sent December 19, </w:t>
      </w:r>
      <w:proofErr w:type="gramStart"/>
      <w:r>
        <w:rPr>
          <w:sz w:val="26"/>
          <w:szCs w:val="26"/>
        </w:rPr>
        <w:t>2023</w:t>
      </w:r>
      <w:proofErr w:type="gramEnd"/>
      <w:r>
        <w:rPr>
          <w:sz w:val="26"/>
          <w:szCs w:val="26"/>
        </w:rPr>
        <w:t xml:space="preserve"> by the Town Administrator, Terry </w:t>
      </w:r>
      <w:proofErr w:type="spellStart"/>
      <w:r>
        <w:rPr>
          <w:sz w:val="26"/>
          <w:szCs w:val="26"/>
        </w:rPr>
        <w:t>Narkewicz</w:t>
      </w:r>
      <w:proofErr w:type="spellEnd"/>
      <w:r>
        <w:rPr>
          <w:sz w:val="26"/>
          <w:szCs w:val="26"/>
        </w:rPr>
        <w:t xml:space="preserve"> regarding a new Town Manual that describes recommended procedures for committees that work for the town.</w:t>
      </w:r>
    </w:p>
    <w:p w14:paraId="569FB82F" w14:textId="77777777" w:rsidR="00E70143" w:rsidRDefault="00000000">
      <w:pPr>
        <w:pStyle w:val="BodyA"/>
        <w:rPr>
          <w:sz w:val="26"/>
          <w:szCs w:val="26"/>
        </w:rPr>
      </w:pPr>
      <w:r>
        <w:rPr>
          <w:sz w:val="26"/>
          <w:szCs w:val="26"/>
        </w:rPr>
        <w:t xml:space="preserve">The manual is available on the town website.  </w:t>
      </w:r>
    </w:p>
    <w:p w14:paraId="4869D916" w14:textId="77777777" w:rsidR="00E70143" w:rsidRDefault="00E70143">
      <w:pPr>
        <w:pStyle w:val="Default"/>
        <w:spacing w:before="0" w:line="240" w:lineRule="auto"/>
        <w:rPr>
          <w:rFonts w:ascii="Helvetica" w:eastAsia="Helvetica" w:hAnsi="Helvetica" w:cs="Helvetica"/>
          <w:sz w:val="29"/>
          <w:szCs w:val="29"/>
        </w:rPr>
      </w:pPr>
    </w:p>
    <w:p w14:paraId="1FB9FE0E" w14:textId="4CF2F8DA" w:rsidR="0013090D" w:rsidRDefault="00000000">
      <w:pPr>
        <w:pStyle w:val="BodyA"/>
        <w:rPr>
          <w:sz w:val="26"/>
          <w:szCs w:val="26"/>
        </w:rPr>
      </w:pPr>
      <w:r>
        <w:rPr>
          <w:sz w:val="26"/>
          <w:szCs w:val="26"/>
        </w:rPr>
        <w:t>The meeting adjourned at 8:35 pm.</w:t>
      </w:r>
    </w:p>
    <w:p w14:paraId="2041B41D" w14:textId="77777777" w:rsidR="0013090D" w:rsidRDefault="0013090D">
      <w:pPr>
        <w:rPr>
          <w:rFonts w:ascii="Helvetica Neue" w:hAnsi="Helvetica Neue" w:cs="Arial Unicode MS"/>
          <w:color w:val="000000"/>
          <w:sz w:val="26"/>
          <w:szCs w:val="26"/>
          <w:u w:color="000000"/>
          <w:lang w:eastAsia="zh-CN"/>
          <w14:textOutline w14:w="12700" w14:cap="flat" w14:cmpd="sng" w14:algn="ctr">
            <w14:noFill/>
            <w14:prstDash w14:val="solid"/>
            <w14:miter w14:lim="400000"/>
          </w14:textOutline>
        </w:rPr>
      </w:pPr>
      <w:r>
        <w:rPr>
          <w:sz w:val="26"/>
          <w:szCs w:val="26"/>
        </w:rPr>
        <w:lastRenderedPageBreak/>
        <w:br w:type="page"/>
      </w:r>
    </w:p>
    <w:p w14:paraId="07710C08" w14:textId="77777777" w:rsidR="0013090D" w:rsidRDefault="0013090D" w:rsidP="0013090D">
      <w:pPr>
        <w:rPr>
          <w:rFonts w:ascii="Calibri" w:hAnsi="Calibri"/>
          <w:b/>
          <w:bCs/>
          <w:color w:val="000000"/>
        </w:rPr>
      </w:pPr>
      <w:r>
        <w:rPr>
          <w:rFonts w:ascii="Calibri" w:hAnsi="Calibri"/>
          <w:b/>
          <w:bCs/>
          <w:color w:val="000000"/>
        </w:rPr>
        <w:lastRenderedPageBreak/>
        <w:t>Understand Your Solar Options in Shelburne MA</w:t>
      </w:r>
    </w:p>
    <w:p w14:paraId="16E73FEA" w14:textId="77777777" w:rsidR="0013090D" w:rsidRDefault="0013090D" w:rsidP="0013090D">
      <w:pPr>
        <w:rPr>
          <w:rFonts w:ascii="Calibri" w:hAnsi="Calibri"/>
          <w:b/>
          <w:bCs/>
          <w:color w:val="000000"/>
        </w:rPr>
      </w:pPr>
    </w:p>
    <w:p w14:paraId="408B9F8B" w14:textId="77777777" w:rsidR="0013090D" w:rsidRDefault="0013090D" w:rsidP="0013090D">
      <w:pPr>
        <w:pStyle w:val="TableContents"/>
        <w:rPr>
          <w:rFonts w:hint="eastAsia"/>
        </w:rPr>
      </w:pPr>
      <w:r>
        <w:rPr>
          <w:rFonts w:ascii="Calibri" w:hAnsi="Calibri"/>
          <w:color w:val="000000"/>
        </w:rPr>
        <w:t xml:space="preserve">The information included here on how to understand your solar options comes from these two public sites: </w:t>
      </w:r>
      <w:hyperlink r:id="rId7">
        <w:r>
          <w:rPr>
            <w:rStyle w:val="Hyperlink"/>
            <w:rFonts w:ascii="Calibri" w:hAnsi="Calibri"/>
            <w:color w:val="000000"/>
          </w:rPr>
          <w:t>Mass.gov</w:t>
        </w:r>
      </w:hyperlink>
      <w:r>
        <w:rPr>
          <w:rFonts w:ascii="Calibri" w:hAnsi="Calibri"/>
          <w:color w:val="000000"/>
        </w:rPr>
        <w:t xml:space="preserve">, </w:t>
      </w:r>
      <w:hyperlink r:id="rId8">
        <w:r>
          <w:rPr>
            <w:rStyle w:val="Hyperlink"/>
            <w:rFonts w:ascii="Calibri" w:hAnsi="Calibri"/>
            <w:color w:val="000000"/>
          </w:rPr>
          <w:t>Massachusetts Clean Energy Center</w:t>
        </w:r>
      </w:hyperlink>
      <w:r>
        <w:rPr>
          <w:rFonts w:ascii="Calibri" w:hAnsi="Calibri"/>
          <w:color w:val="000000"/>
        </w:rPr>
        <w:t xml:space="preserve"> and </w:t>
      </w:r>
      <w:hyperlink r:id="rId9">
        <w:r>
          <w:rPr>
            <w:rStyle w:val="Hyperlink"/>
            <w:rFonts w:ascii="Calibri" w:hAnsi="Calibri"/>
            <w:color w:val="000000"/>
          </w:rPr>
          <w:t>Energy Sage</w:t>
        </w:r>
      </w:hyperlink>
    </w:p>
    <w:p w14:paraId="47745F6D" w14:textId="77777777" w:rsidR="0013090D" w:rsidRDefault="0013090D" w:rsidP="0013090D">
      <w:pPr>
        <w:rPr>
          <w:rFonts w:ascii="Calibri" w:hAnsi="Calibri"/>
          <w:color w:val="000000"/>
        </w:rPr>
      </w:pPr>
    </w:p>
    <w:p w14:paraId="567DC0D2" w14:textId="77777777" w:rsidR="0013090D" w:rsidRDefault="0013090D" w:rsidP="0013090D">
      <w:pPr>
        <w:rPr>
          <w:rFonts w:hint="eastAsia"/>
        </w:rPr>
      </w:pPr>
      <w:r>
        <w:rPr>
          <w:rFonts w:ascii="Calibri" w:hAnsi="Calibri"/>
          <w:b/>
          <w:bCs/>
          <w:color w:val="000000"/>
        </w:rPr>
        <w:t>#1. Switch to a Clean Energy Supplier</w:t>
      </w:r>
      <w:r>
        <w:rPr>
          <w:rFonts w:ascii="Calibri" w:hAnsi="Calibri"/>
          <w:b/>
          <w:bCs/>
          <w:color w:val="000000"/>
        </w:rPr>
        <w:br/>
      </w:r>
      <w:hyperlink r:id="rId10">
        <w:r>
          <w:rPr>
            <w:rStyle w:val="Hyperlink"/>
            <w:rFonts w:ascii="Calibri" w:hAnsi="Calibri"/>
            <w:color w:val="000000"/>
          </w:rPr>
          <w:t>Municipal aggregation</w:t>
        </w:r>
      </w:hyperlink>
      <w:r>
        <w:rPr>
          <w:rFonts w:ascii="Calibri" w:hAnsi="Calibri"/>
          <w:color w:val="000000"/>
        </w:rPr>
        <w:t xml:space="preserve"> is a process in which municipalities purchase electricity in bulk on behalf of participating customers. Customers who live within that municipality may participate or not participate voluntarily. Municipal aggregation provides competitive pricing and ensures that the clean electricity contract is </w:t>
      </w:r>
      <w:proofErr w:type="gramStart"/>
      <w:r>
        <w:rPr>
          <w:rFonts w:ascii="Calibri" w:hAnsi="Calibri"/>
          <w:color w:val="000000"/>
        </w:rPr>
        <w:t>consumer-friendly</w:t>
      </w:r>
      <w:proofErr w:type="gramEnd"/>
      <w:r>
        <w:rPr>
          <w:rFonts w:ascii="Calibri" w:hAnsi="Calibri"/>
          <w:color w:val="000000"/>
        </w:rPr>
        <w:t xml:space="preserve">. For info on </w:t>
      </w:r>
      <w:hyperlink r:id="rId11">
        <w:r>
          <w:rPr>
            <w:rStyle w:val="Hyperlink"/>
            <w:rFonts w:ascii="Calibri" w:hAnsi="Calibri"/>
            <w:color w:val="000000"/>
          </w:rPr>
          <w:t>Municipal Aggregation</w:t>
        </w:r>
      </w:hyperlink>
      <w:r>
        <w:rPr>
          <w:rFonts w:ascii="Calibri" w:hAnsi="Calibri"/>
          <w:color w:val="000000"/>
        </w:rPr>
        <w:t xml:space="preserve">. For info on </w:t>
      </w:r>
      <w:hyperlink r:id="rId12">
        <w:r>
          <w:rPr>
            <w:rStyle w:val="Hyperlink"/>
            <w:rFonts w:ascii="Calibri" w:hAnsi="Calibri"/>
            <w:color w:val="000000"/>
          </w:rPr>
          <w:t>Shelburne’s Municipal Aggregation program</w:t>
        </w:r>
      </w:hyperlink>
      <w:r>
        <w:rPr>
          <w:rFonts w:ascii="Calibri" w:hAnsi="Calibri"/>
          <w:color w:val="000000"/>
        </w:rPr>
        <w:t>.</w:t>
      </w:r>
    </w:p>
    <w:p w14:paraId="315B2B88" w14:textId="77777777" w:rsidR="0013090D" w:rsidRDefault="0013090D" w:rsidP="0013090D">
      <w:pPr>
        <w:rPr>
          <w:rFonts w:ascii="Calibri" w:hAnsi="Calibri"/>
          <w:color w:val="000000"/>
        </w:rPr>
      </w:pPr>
    </w:p>
    <w:p w14:paraId="11A1C1D2" w14:textId="77777777" w:rsidR="0013090D" w:rsidRDefault="0013090D" w:rsidP="0013090D">
      <w:pPr>
        <w:rPr>
          <w:rFonts w:ascii="Calibri" w:hAnsi="Calibri"/>
          <w:b/>
          <w:bCs/>
          <w:color w:val="000000"/>
        </w:rPr>
      </w:pPr>
      <w:r>
        <w:rPr>
          <w:rFonts w:ascii="Calibri" w:hAnsi="Calibri"/>
          <w:b/>
          <w:bCs/>
          <w:color w:val="000000"/>
        </w:rPr>
        <w:t>#2. Install Solar on your Property or Subscribe to a Shared Solar Array</w:t>
      </w:r>
    </w:p>
    <w:p w14:paraId="05955EB9" w14:textId="77777777" w:rsidR="0013090D" w:rsidRDefault="0013090D" w:rsidP="0013090D">
      <w:pPr>
        <w:rPr>
          <w:rFonts w:ascii="Calibri" w:hAnsi="Calibri"/>
          <w:b/>
          <w:bCs/>
          <w:color w:val="000000"/>
        </w:rPr>
      </w:pPr>
    </w:p>
    <w:p w14:paraId="4E5F92FB" w14:textId="77777777" w:rsidR="0013090D" w:rsidRDefault="0013090D" w:rsidP="0013090D">
      <w:pPr>
        <w:rPr>
          <w:rFonts w:ascii="Calibri" w:hAnsi="Calibri"/>
          <w:color w:val="000000"/>
        </w:rPr>
      </w:pPr>
      <w:r>
        <w:rPr>
          <w:rFonts w:ascii="Calibri" w:hAnsi="Calibri"/>
          <w:b/>
          <w:bCs/>
          <w:color w:val="000000"/>
        </w:rPr>
        <w:t xml:space="preserve">Own a Solar Array on your </w:t>
      </w:r>
      <w:proofErr w:type="gramStart"/>
      <w:r>
        <w:rPr>
          <w:rFonts w:ascii="Calibri" w:hAnsi="Calibri"/>
          <w:b/>
          <w:bCs/>
          <w:color w:val="000000"/>
        </w:rPr>
        <w:t>Property</w:t>
      </w:r>
      <w:proofErr w:type="gramEnd"/>
    </w:p>
    <w:p w14:paraId="439694BB" w14:textId="77777777" w:rsidR="0013090D" w:rsidRDefault="0013090D" w:rsidP="0013090D">
      <w:pPr>
        <w:pStyle w:val="TableContents"/>
        <w:rPr>
          <w:rFonts w:ascii="Calibri" w:hAnsi="Calibri"/>
          <w:color w:val="000000"/>
        </w:rPr>
      </w:pPr>
      <w:r>
        <w:rPr>
          <w:rFonts w:ascii="Calibri" w:hAnsi="Calibri"/>
          <w:color w:val="000000"/>
        </w:rPr>
        <w:t xml:space="preserve">You own your home, have a good site for solar, and can pay up front for a system. You own the system, and usually either make an upfront cash purchase or finance the solar electric system through a loan. </w:t>
      </w:r>
    </w:p>
    <w:p w14:paraId="02D492D8" w14:textId="77777777" w:rsidR="0013090D" w:rsidRDefault="0013090D" w:rsidP="0013090D">
      <w:pPr>
        <w:pStyle w:val="TableContents"/>
        <w:rPr>
          <w:rFonts w:ascii="Calibri" w:hAnsi="Calibri"/>
          <w:color w:val="000000"/>
        </w:rPr>
      </w:pPr>
    </w:p>
    <w:p w14:paraId="301211D5" w14:textId="77777777" w:rsidR="0013090D" w:rsidRDefault="0013090D" w:rsidP="0013090D">
      <w:pPr>
        <w:rPr>
          <w:rFonts w:ascii="Calibri" w:hAnsi="Calibri"/>
          <w:color w:val="000000"/>
        </w:rPr>
      </w:pPr>
      <w:r>
        <w:rPr>
          <w:rFonts w:ascii="Calibri" w:hAnsi="Calibri"/>
          <w:color w:val="000000"/>
        </w:rPr>
        <w:t xml:space="preserve">Buying your solar panel system makes the most sense if you have the money on hand to pay upfront for your solar </w:t>
      </w:r>
      <w:proofErr w:type="gramStart"/>
      <w:r>
        <w:rPr>
          <w:rFonts w:ascii="Calibri" w:hAnsi="Calibri"/>
          <w:color w:val="000000"/>
        </w:rPr>
        <w:t>panels, and</w:t>
      </w:r>
      <w:proofErr w:type="gramEnd"/>
      <w:r>
        <w:rPr>
          <w:rFonts w:ascii="Calibri" w:hAnsi="Calibri"/>
          <w:color w:val="000000"/>
        </w:rPr>
        <w:t xml:space="preserve"> anticipate being in your home long enough for the system to pay for itself.  In these </w:t>
      </w:r>
      <w:proofErr w:type="gramStart"/>
      <w:r>
        <w:rPr>
          <w:rFonts w:ascii="Calibri" w:hAnsi="Calibri"/>
          <w:color w:val="000000"/>
        </w:rPr>
        <w:t>cases</w:t>
      </w:r>
      <w:proofErr w:type="gramEnd"/>
      <w:r>
        <w:rPr>
          <w:rFonts w:ascii="Calibri" w:hAnsi="Calibri"/>
          <w:color w:val="000000"/>
        </w:rPr>
        <w:t xml:space="preserve"> you can lock in or eliminate your monthly electricity bills for two to three decades in the future, while also increasing the value of your home.</w:t>
      </w:r>
    </w:p>
    <w:p w14:paraId="4042D60C" w14:textId="77777777" w:rsidR="0013090D" w:rsidRDefault="0013090D" w:rsidP="0013090D">
      <w:pPr>
        <w:rPr>
          <w:rFonts w:ascii="Calibri" w:hAnsi="Calibri"/>
          <w:color w:val="000000"/>
        </w:rPr>
      </w:pPr>
    </w:p>
    <w:p w14:paraId="5F1A67A5" w14:textId="77777777" w:rsidR="0013090D" w:rsidRDefault="0013090D" w:rsidP="0013090D">
      <w:pPr>
        <w:rPr>
          <w:rFonts w:ascii="Calibri" w:hAnsi="Calibri"/>
          <w:color w:val="000000"/>
        </w:rPr>
      </w:pPr>
      <w:r>
        <w:rPr>
          <w:rFonts w:ascii="Calibri" w:hAnsi="Calibri"/>
          <w:color w:val="000000"/>
        </w:rPr>
        <w:t xml:space="preserve">Financing a solar purchase with a loan is another way to invest in solar without a </w:t>
      </w:r>
      <w:proofErr w:type="gramStart"/>
      <w:r>
        <w:rPr>
          <w:rFonts w:ascii="Calibri" w:hAnsi="Calibri"/>
          <w:color w:val="000000"/>
        </w:rPr>
        <w:t>large upfront costs</w:t>
      </w:r>
      <w:proofErr w:type="gramEnd"/>
      <w:r>
        <w:rPr>
          <w:rFonts w:ascii="Calibri" w:hAnsi="Calibri"/>
          <w:color w:val="000000"/>
        </w:rPr>
        <w:t>, but which comes with the added benefits associated with owning your solar panels outright, such as increasing your home’s value.</w:t>
      </w:r>
    </w:p>
    <w:p w14:paraId="13070441" w14:textId="77777777" w:rsidR="0013090D" w:rsidRDefault="0013090D" w:rsidP="0013090D">
      <w:pPr>
        <w:rPr>
          <w:rFonts w:hint="eastAsia"/>
        </w:rPr>
      </w:pPr>
    </w:p>
    <w:p w14:paraId="0F3AE6E4" w14:textId="77777777" w:rsidR="0013090D" w:rsidRDefault="0013090D" w:rsidP="0013090D">
      <w:pPr>
        <w:rPr>
          <w:rFonts w:hint="eastAsia"/>
        </w:rPr>
      </w:pPr>
      <w:r>
        <w:rPr>
          <w:rFonts w:ascii="Calibri" w:hAnsi="Calibri"/>
          <w:color w:val="000000"/>
        </w:rPr>
        <w:t>If you’re interested in how much you can save by purchasing solar, financing a solar energy system with a loan or leasing solar panels, the </w:t>
      </w:r>
      <w:proofErr w:type="spellStart"/>
      <w:r>
        <w:fldChar w:fldCharType="begin"/>
      </w:r>
      <w:r>
        <w:instrText>HYPERLINK "https://www.energysage.com/solar/calculator/" \h</w:instrText>
      </w:r>
      <w:r>
        <w:rPr>
          <w:rFonts w:hint="eastAsia"/>
        </w:rPr>
        <w:fldChar w:fldCharType="separate"/>
      </w:r>
      <w:r>
        <w:rPr>
          <w:rStyle w:val="Hyperlink"/>
          <w:rFonts w:ascii="Calibri" w:hAnsi="Calibri"/>
          <w:color w:val="000000"/>
        </w:rPr>
        <w:t>EnergySage</w:t>
      </w:r>
      <w:proofErr w:type="spellEnd"/>
      <w:r>
        <w:rPr>
          <w:rStyle w:val="Hyperlink"/>
          <w:rFonts w:ascii="Calibri" w:hAnsi="Calibri"/>
          <w:color w:val="000000"/>
        </w:rPr>
        <w:t xml:space="preserve"> Solar Calculator</w:t>
      </w:r>
      <w:r>
        <w:rPr>
          <w:rStyle w:val="Hyperlink"/>
          <w:rFonts w:ascii="Calibri" w:hAnsi="Calibri"/>
          <w:color w:val="000000"/>
        </w:rPr>
        <w:fldChar w:fldCharType="end"/>
      </w:r>
      <w:r>
        <w:rPr>
          <w:rFonts w:ascii="Calibri" w:hAnsi="Calibri"/>
          <w:color w:val="000000"/>
        </w:rPr>
        <w:t xml:space="preserve"> provides a comparison of the upfront and monthly payments, as well as the potential 25-year savings associated with each option. </w:t>
      </w:r>
    </w:p>
    <w:p w14:paraId="61B871EC" w14:textId="77777777" w:rsidR="0013090D" w:rsidRDefault="0013090D" w:rsidP="0013090D">
      <w:pPr>
        <w:pStyle w:val="TableContents"/>
        <w:rPr>
          <w:rFonts w:ascii="Calibri" w:hAnsi="Calibri"/>
          <w:color w:val="000000"/>
        </w:rPr>
      </w:pPr>
    </w:p>
    <w:p w14:paraId="7BF7544E" w14:textId="77777777" w:rsidR="0013090D" w:rsidRDefault="0013090D" w:rsidP="0013090D">
      <w:pPr>
        <w:pStyle w:val="TableContents"/>
        <w:rPr>
          <w:rFonts w:ascii="Calibri" w:hAnsi="Calibri"/>
          <w:color w:val="000000"/>
        </w:rPr>
      </w:pPr>
      <w:r>
        <w:rPr>
          <w:rFonts w:ascii="Calibri" w:hAnsi="Calibri"/>
          <w:color w:val="000000"/>
        </w:rPr>
        <w:t xml:space="preserve">BEFORE YOU SIGN: Check the online rating and references for the installer to see that they have a good reputation doing projects like yours.  Check the Energy Sage website for cost comparison. Get 3 quotes to compare costs and energy savings. Contracts need to include system size, specifications for the exact equipment being installed, total system cost, cost per watt of system size ($/w), estimated production, and payment terms. It should also specify all applicable warranty information, the project’s estimated start and completion dates, and a list of any subcontractors that are going to be used. It is recommended that an installer provide a minimum five-year workmanship warranty to protect equipment against defective workmanship, electric component breakdown, or significant degradation in electrical output. One year production guarantee from installer and </w:t>
      </w:r>
      <w:proofErr w:type="gramStart"/>
      <w:r>
        <w:rPr>
          <w:rFonts w:ascii="Calibri" w:hAnsi="Calibri"/>
          <w:color w:val="000000"/>
        </w:rPr>
        <w:t>20 year</w:t>
      </w:r>
      <w:proofErr w:type="gramEnd"/>
      <w:r>
        <w:rPr>
          <w:rFonts w:ascii="Calibri" w:hAnsi="Calibri"/>
          <w:color w:val="000000"/>
        </w:rPr>
        <w:t xml:space="preserve"> performance warranty for the panels from manufacturer. Minimum of a ten-year product warranty for the inverters from date of sale </w:t>
      </w:r>
      <w:r>
        <w:rPr>
          <w:rFonts w:ascii="Calibri" w:hAnsi="Calibri"/>
          <w:color w:val="000000"/>
        </w:rPr>
        <w:lastRenderedPageBreak/>
        <w:t xml:space="preserve">to consumer for product workmanship and materials. </w:t>
      </w:r>
    </w:p>
    <w:p w14:paraId="5A6A31EA" w14:textId="77777777" w:rsidR="0013090D" w:rsidRDefault="0013090D" w:rsidP="0013090D">
      <w:pPr>
        <w:rPr>
          <w:rFonts w:ascii="Calibri" w:hAnsi="Calibri"/>
          <w:color w:val="000000"/>
        </w:rPr>
      </w:pPr>
    </w:p>
    <w:p w14:paraId="3709C855" w14:textId="77777777" w:rsidR="0013090D" w:rsidRDefault="0013090D" w:rsidP="0013090D">
      <w:pPr>
        <w:rPr>
          <w:rFonts w:ascii="Calibri" w:hAnsi="Calibri"/>
          <w:b/>
          <w:bCs/>
          <w:color w:val="000000"/>
        </w:rPr>
      </w:pPr>
      <w:r>
        <w:rPr>
          <w:rFonts w:ascii="Calibri" w:hAnsi="Calibri"/>
          <w:b/>
          <w:bCs/>
          <w:color w:val="000000"/>
        </w:rPr>
        <w:br/>
      </w:r>
      <w:r>
        <w:br w:type="page"/>
      </w:r>
    </w:p>
    <w:p w14:paraId="0D57350E" w14:textId="77777777" w:rsidR="0013090D" w:rsidRDefault="0013090D" w:rsidP="0013090D">
      <w:pPr>
        <w:rPr>
          <w:rFonts w:ascii="Calibri" w:hAnsi="Calibri"/>
          <w:b/>
          <w:bCs/>
          <w:color w:val="000000"/>
        </w:rPr>
      </w:pPr>
      <w:r>
        <w:rPr>
          <w:rFonts w:ascii="Calibri" w:hAnsi="Calibri"/>
          <w:b/>
          <w:bCs/>
          <w:color w:val="000000"/>
        </w:rPr>
        <w:lastRenderedPageBreak/>
        <w:t xml:space="preserve">Lease a Solar System on your </w:t>
      </w:r>
      <w:proofErr w:type="gramStart"/>
      <w:r>
        <w:rPr>
          <w:rFonts w:ascii="Calibri" w:hAnsi="Calibri"/>
          <w:b/>
          <w:bCs/>
          <w:color w:val="000000"/>
        </w:rPr>
        <w:t>Property</w:t>
      </w:r>
      <w:proofErr w:type="gramEnd"/>
    </w:p>
    <w:p w14:paraId="659B1B32" w14:textId="77777777" w:rsidR="0013090D" w:rsidRDefault="0013090D" w:rsidP="0013090D">
      <w:pPr>
        <w:pStyle w:val="TableContents"/>
        <w:rPr>
          <w:rFonts w:ascii="Calibri" w:hAnsi="Calibri"/>
          <w:color w:val="000000"/>
        </w:rPr>
      </w:pPr>
      <w:r>
        <w:rPr>
          <w:rFonts w:ascii="Calibri" w:hAnsi="Calibri"/>
          <w:color w:val="000000"/>
        </w:rPr>
        <w:t>Leasing solar panels may make the most sense if you want to power your home with solar but don’t want to pay upfront for the cost of the installation and don’t care as much about the increased home value associated with owning solar panels.</w:t>
      </w:r>
    </w:p>
    <w:p w14:paraId="0A6F4773" w14:textId="77777777" w:rsidR="0013090D" w:rsidRDefault="0013090D" w:rsidP="0013090D">
      <w:pPr>
        <w:pStyle w:val="TableContents"/>
        <w:rPr>
          <w:rFonts w:ascii="Calibri" w:hAnsi="Calibri"/>
          <w:color w:val="000000"/>
        </w:rPr>
      </w:pPr>
    </w:p>
    <w:p w14:paraId="6A14CB09" w14:textId="77777777" w:rsidR="0013090D" w:rsidRDefault="0013090D" w:rsidP="0013090D">
      <w:pPr>
        <w:pStyle w:val="TableContents"/>
        <w:rPr>
          <w:rFonts w:hint="eastAsia"/>
        </w:rPr>
      </w:pPr>
      <w:r>
        <w:rPr>
          <w:rFonts w:ascii="Calibri" w:hAnsi="Calibri"/>
          <w:color w:val="000000"/>
        </w:rPr>
        <w:t xml:space="preserve">A </w:t>
      </w:r>
      <w:proofErr w:type="gramStart"/>
      <w:r>
        <w:rPr>
          <w:rFonts w:ascii="Calibri" w:hAnsi="Calibri"/>
          <w:color w:val="000000"/>
        </w:rPr>
        <w:t>third party</w:t>
      </w:r>
      <w:proofErr w:type="gramEnd"/>
      <w:r>
        <w:rPr>
          <w:rFonts w:ascii="Calibri" w:hAnsi="Calibri"/>
          <w:color w:val="000000"/>
        </w:rPr>
        <w:t xml:space="preserve"> company will own and operate the solar electric system on your property and provide some portion of the benefits to you, often with little or no upfront cost. Under this model, you are commonly offered a solar lease or power purchase agreement (PPA). You get a 10% to 20% discount on your electricity costs. Go to </w:t>
      </w:r>
      <w:hyperlink r:id="rId13">
        <w:r>
          <w:rPr>
            <w:rStyle w:val="Hyperlink"/>
            <w:rFonts w:ascii="Calibri" w:hAnsi="Calibri"/>
            <w:color w:val="000000"/>
          </w:rPr>
          <w:t>Energy Sage</w:t>
        </w:r>
      </w:hyperlink>
      <w:r>
        <w:rPr>
          <w:rFonts w:ascii="Calibri" w:hAnsi="Calibri"/>
          <w:color w:val="000000"/>
        </w:rPr>
        <w:t xml:space="preserve"> for a cost comparison.  </w:t>
      </w:r>
    </w:p>
    <w:p w14:paraId="3ABE0451" w14:textId="77777777" w:rsidR="0013090D" w:rsidRDefault="0013090D" w:rsidP="0013090D">
      <w:pPr>
        <w:pStyle w:val="TableContents"/>
        <w:rPr>
          <w:rFonts w:ascii="Calibri" w:hAnsi="Calibri"/>
          <w:color w:val="000000"/>
        </w:rPr>
      </w:pPr>
    </w:p>
    <w:p w14:paraId="26B86E6B" w14:textId="77777777" w:rsidR="0013090D" w:rsidRDefault="0013090D" w:rsidP="0013090D">
      <w:pPr>
        <w:pStyle w:val="TableContents"/>
        <w:rPr>
          <w:rFonts w:ascii="Calibri" w:hAnsi="Calibri"/>
          <w:color w:val="000000"/>
        </w:rPr>
      </w:pPr>
      <w:r>
        <w:rPr>
          <w:rFonts w:ascii="Calibri" w:hAnsi="Calibri"/>
          <w:color w:val="000000"/>
        </w:rPr>
        <w:t xml:space="preserve">BEFORE YOU SIGN: Check the online rating and references for the installer to see that they have a good reputation doing projects like yours. Compare initial cost of </w:t>
      </w:r>
      <w:proofErr w:type="gramStart"/>
      <w:r>
        <w:rPr>
          <w:rFonts w:ascii="Calibri" w:hAnsi="Calibri"/>
          <w:color w:val="000000"/>
        </w:rPr>
        <w:t>electricity,  annual</w:t>
      </w:r>
      <w:proofErr w:type="gramEnd"/>
      <w:r>
        <w:rPr>
          <w:rFonts w:ascii="Calibri" w:hAnsi="Calibri"/>
          <w:color w:val="000000"/>
        </w:rPr>
        <w:t xml:space="preserve"> escalators, monthly fees, upfront fees, length of contract, who gets the assignment of the tax credits and incentives, option to purchase at what cost, cancellation fees, operations and maintenance costs, performance guarantee, what happens when the contract ends, what happens if you move prior to the end of the contract term.</w:t>
      </w:r>
    </w:p>
    <w:p w14:paraId="0C70D44B" w14:textId="77777777" w:rsidR="0013090D" w:rsidRDefault="0013090D" w:rsidP="0013090D">
      <w:pPr>
        <w:pStyle w:val="TableContents"/>
        <w:rPr>
          <w:rFonts w:ascii="Calibri" w:hAnsi="Calibri"/>
          <w:color w:val="000000"/>
        </w:rPr>
      </w:pPr>
    </w:p>
    <w:p w14:paraId="5F8CF76B" w14:textId="77777777" w:rsidR="0013090D" w:rsidRDefault="0013090D" w:rsidP="0013090D">
      <w:pPr>
        <w:pStyle w:val="TableContents"/>
        <w:rPr>
          <w:rFonts w:ascii="Calibri" w:hAnsi="Calibri"/>
          <w:color w:val="000000"/>
        </w:rPr>
      </w:pPr>
    </w:p>
    <w:p w14:paraId="3DFCAA39" w14:textId="77777777" w:rsidR="0013090D" w:rsidRDefault="0013090D" w:rsidP="0013090D">
      <w:pPr>
        <w:pStyle w:val="TableContents"/>
        <w:rPr>
          <w:rFonts w:ascii="Calibri" w:hAnsi="Calibri"/>
          <w:b/>
          <w:bCs/>
          <w:color w:val="000000"/>
        </w:rPr>
      </w:pPr>
      <w:r>
        <w:rPr>
          <w:rFonts w:ascii="Calibri" w:hAnsi="Calibri"/>
          <w:b/>
          <w:bCs/>
          <w:color w:val="000000"/>
        </w:rPr>
        <w:t>You Participate in a Community Solar Array</w:t>
      </w:r>
    </w:p>
    <w:p w14:paraId="211B2B32" w14:textId="77777777" w:rsidR="0013090D" w:rsidRDefault="0013090D" w:rsidP="0013090D">
      <w:pPr>
        <w:pStyle w:val="TableContents"/>
        <w:rPr>
          <w:rFonts w:ascii="Calibri" w:hAnsi="Calibri"/>
          <w:b/>
          <w:bCs/>
          <w:color w:val="000000"/>
        </w:rPr>
      </w:pPr>
    </w:p>
    <w:p w14:paraId="2A54D284" w14:textId="77777777" w:rsidR="0013090D" w:rsidRDefault="0013090D" w:rsidP="0013090D">
      <w:pPr>
        <w:rPr>
          <w:rFonts w:hint="eastAsia"/>
        </w:rPr>
      </w:pPr>
      <w:r>
        <w:rPr>
          <w:rFonts w:ascii="Calibri" w:hAnsi="Calibri"/>
          <w:color w:val="000000"/>
        </w:rPr>
        <w:t xml:space="preserve">Community solar is a great way to save money compared to rooftop solar. By joining a solar farm project in your area, you </w:t>
      </w:r>
      <w:proofErr w:type="gramStart"/>
      <w:r>
        <w:rPr>
          <w:rFonts w:ascii="Calibri" w:hAnsi="Calibri"/>
          <w:color w:val="000000"/>
        </w:rPr>
        <w:t>can  save</w:t>
      </w:r>
      <w:proofErr w:type="gramEnd"/>
      <w:r>
        <w:rPr>
          <w:rFonts w:ascii="Calibri" w:hAnsi="Calibri"/>
          <w:color w:val="000000"/>
        </w:rPr>
        <w:t xml:space="preserve"> 10 to 25 percent on most of your electricity bill by receiving credits. With community solar, most subscriptions involve no upfront cost, guaranteed savings, and allow you to cancel anytime without any penalty fees. </w:t>
      </w:r>
      <w:hyperlink r:id="rId14">
        <w:r>
          <w:rPr>
            <w:rStyle w:val="Hyperlink"/>
            <w:rFonts w:ascii="Calibri" w:hAnsi="Calibri"/>
            <w:color w:val="000000"/>
            <w:u w:val="none"/>
          </w:rPr>
          <w:t>Visit our marketplace</w:t>
        </w:r>
      </w:hyperlink>
      <w:r>
        <w:rPr>
          <w:rFonts w:ascii="Calibri" w:hAnsi="Calibri"/>
          <w:color w:val="000000"/>
        </w:rPr>
        <w:t xml:space="preserve"> to find a participating solar farm near you. Check the </w:t>
      </w:r>
      <w:hyperlink r:id="rId15">
        <w:r>
          <w:rPr>
            <w:rStyle w:val="Hyperlink"/>
            <w:rFonts w:ascii="Calibri" w:hAnsi="Calibri"/>
            <w:color w:val="000000"/>
          </w:rPr>
          <w:t>Energy Sage cost comparison</w:t>
        </w:r>
      </w:hyperlink>
    </w:p>
    <w:p w14:paraId="131CD205" w14:textId="77777777" w:rsidR="0013090D" w:rsidRDefault="0013090D" w:rsidP="0013090D">
      <w:pPr>
        <w:pStyle w:val="TableContents"/>
        <w:rPr>
          <w:rFonts w:ascii="Calibri" w:hAnsi="Calibri"/>
          <w:color w:val="000000"/>
        </w:rPr>
      </w:pPr>
    </w:p>
    <w:p w14:paraId="53B1C8E8" w14:textId="77777777" w:rsidR="0013090D" w:rsidRDefault="0013090D" w:rsidP="0013090D">
      <w:pPr>
        <w:pStyle w:val="TableContents"/>
        <w:rPr>
          <w:rFonts w:ascii="Calibri" w:hAnsi="Calibri"/>
          <w:color w:val="000000"/>
        </w:rPr>
      </w:pPr>
      <w:r>
        <w:rPr>
          <w:rFonts w:ascii="Calibri" w:hAnsi="Calibri"/>
          <w:color w:val="000000"/>
        </w:rPr>
        <w:t>BEFORE YOU SIGN: Check the online rating and references for the installer to see that they have a good reputation managing solar arrays. Compare the cancellation fee and how much of a discount you get.</w:t>
      </w:r>
    </w:p>
    <w:p w14:paraId="667543DF" w14:textId="77777777" w:rsidR="0013090D" w:rsidRDefault="0013090D" w:rsidP="0013090D">
      <w:pPr>
        <w:pStyle w:val="TableContents"/>
        <w:rPr>
          <w:rFonts w:ascii="Calibri" w:hAnsi="Calibri"/>
          <w:color w:val="000000"/>
        </w:rPr>
      </w:pPr>
    </w:p>
    <w:p w14:paraId="3BB9A8D0" w14:textId="77777777" w:rsidR="0013090D" w:rsidRDefault="0013090D" w:rsidP="0013090D">
      <w:pPr>
        <w:pStyle w:val="TableContents"/>
        <w:rPr>
          <w:rFonts w:ascii="Calibri" w:hAnsi="Calibri"/>
          <w:color w:val="000000"/>
        </w:rPr>
      </w:pPr>
    </w:p>
    <w:p w14:paraId="5C8E157E" w14:textId="77777777" w:rsidR="0013090D" w:rsidRDefault="0013090D" w:rsidP="0013090D">
      <w:pPr>
        <w:pStyle w:val="TableContents"/>
        <w:rPr>
          <w:rFonts w:ascii="Calibri" w:hAnsi="Calibri"/>
          <w:color w:val="000000"/>
        </w:rPr>
      </w:pPr>
    </w:p>
    <w:p w14:paraId="51DB6C1F" w14:textId="77777777" w:rsidR="0013090D" w:rsidRDefault="0013090D" w:rsidP="0013090D">
      <w:pPr>
        <w:pStyle w:val="TableContents"/>
        <w:rPr>
          <w:rFonts w:ascii="Calibri" w:hAnsi="Calibri"/>
          <w:color w:val="000000"/>
        </w:rPr>
      </w:pPr>
    </w:p>
    <w:p w14:paraId="69CFC9EF" w14:textId="77777777" w:rsidR="0013090D" w:rsidRDefault="0013090D" w:rsidP="0013090D">
      <w:pPr>
        <w:pStyle w:val="TableContents"/>
        <w:rPr>
          <w:rFonts w:ascii="Calibri" w:hAnsi="Calibri"/>
          <w:color w:val="000000"/>
        </w:rPr>
      </w:pPr>
    </w:p>
    <w:p w14:paraId="6382CC82" w14:textId="77777777" w:rsidR="0013090D" w:rsidRDefault="0013090D" w:rsidP="0013090D">
      <w:pPr>
        <w:pStyle w:val="TableContents"/>
        <w:rPr>
          <w:rFonts w:ascii="Calibri" w:hAnsi="Calibri"/>
          <w:color w:val="000000"/>
        </w:rPr>
      </w:pPr>
      <w:r>
        <w:rPr>
          <w:rFonts w:ascii="Calibri" w:hAnsi="Calibri"/>
          <w:color w:val="000000"/>
        </w:rPr>
        <w:br/>
      </w:r>
      <w:r>
        <w:rPr>
          <w:rFonts w:ascii="arial;sans-serif" w:hAnsi="arial;sans-serif"/>
          <w:b/>
          <w:color w:val="222222"/>
        </w:rPr>
        <w:br/>
        <w:t>What is community solar? </w:t>
      </w:r>
    </w:p>
    <w:p w14:paraId="2BEC8CA4" w14:textId="77777777" w:rsidR="0013090D" w:rsidRDefault="0013090D" w:rsidP="0013090D">
      <w:pPr>
        <w:rPr>
          <w:rFonts w:ascii="arial;sans-serif" w:hAnsi="arial;sans-serif" w:hint="eastAsia"/>
          <w:color w:val="222222"/>
        </w:rPr>
      </w:pPr>
      <w:r>
        <w:rPr>
          <w:rFonts w:ascii="arial;sans-serif" w:hAnsi="arial;sans-serif"/>
          <w:color w:val="222222"/>
        </w:rPr>
        <w:t>Community solar is a way for people to save money on their electric bill and support local clean energy. </w:t>
      </w:r>
    </w:p>
    <w:p w14:paraId="2CDC3B42" w14:textId="77777777" w:rsidR="0013090D" w:rsidRDefault="0013090D" w:rsidP="0013090D">
      <w:pPr>
        <w:rPr>
          <w:rFonts w:ascii="arial;sans-serif" w:hAnsi="arial;sans-serif" w:hint="eastAsia"/>
          <w:color w:val="222222"/>
        </w:rPr>
      </w:pPr>
    </w:p>
    <w:p w14:paraId="17DA17FD" w14:textId="77777777" w:rsidR="0013090D" w:rsidRDefault="0013090D" w:rsidP="0013090D">
      <w:pPr>
        <w:spacing w:after="283"/>
        <w:rPr>
          <w:rFonts w:ascii="arial;sans-serif" w:hAnsi="arial;sans-serif" w:hint="eastAsia"/>
          <w:b/>
          <w:color w:val="222222"/>
        </w:rPr>
      </w:pPr>
      <w:r>
        <w:rPr>
          <w:rFonts w:ascii="arial;sans-serif" w:hAnsi="arial;sans-serif"/>
          <w:b/>
          <w:color w:val="222222"/>
        </w:rPr>
        <w:t>How does it work?</w:t>
      </w:r>
    </w:p>
    <w:p w14:paraId="24D7038D" w14:textId="77777777" w:rsidR="0013090D" w:rsidRDefault="0013090D" w:rsidP="0013090D">
      <w:pPr>
        <w:pStyle w:val="BodyText"/>
        <w:numPr>
          <w:ilvl w:val="0"/>
          <w:numId w:val="3"/>
        </w:numPr>
        <w:tabs>
          <w:tab w:val="left" w:pos="709"/>
        </w:tabs>
        <w:spacing w:after="0"/>
        <w:rPr>
          <w:rFonts w:ascii="Arial;Helvetica;sans-serif" w:hAnsi="Arial;Helvetica;sans-serif" w:hint="eastAsia"/>
          <w:color w:val="222222"/>
        </w:rPr>
      </w:pPr>
      <w:r>
        <w:rPr>
          <w:rFonts w:ascii="arial;sans-serif" w:hAnsi="arial;sans-serif"/>
          <w:color w:val="222222"/>
        </w:rPr>
        <w:lastRenderedPageBreak/>
        <w:t xml:space="preserve">Participants purchase community solar bill </w:t>
      </w:r>
      <w:proofErr w:type="gramStart"/>
      <w:r>
        <w:rPr>
          <w:rFonts w:ascii="arial;sans-serif" w:hAnsi="arial;sans-serif"/>
          <w:color w:val="222222"/>
        </w:rPr>
        <w:t>credits  at</w:t>
      </w:r>
      <w:proofErr w:type="gramEnd"/>
      <w:r>
        <w:rPr>
          <w:rFonts w:ascii="arial;sans-serif" w:hAnsi="arial;sans-serif"/>
          <w:color w:val="222222"/>
        </w:rPr>
        <w:t xml:space="preserve"> a 25% discount to pay their electric bill. </w:t>
      </w:r>
      <w:r>
        <w:rPr>
          <w:rFonts w:ascii="Arial;Helvetica;sans-serif" w:hAnsi="Arial;Helvetica;sans-serif"/>
          <w:color w:val="222222"/>
        </w:rPr>
        <w:t> </w:t>
      </w:r>
      <w:r>
        <w:rPr>
          <w:rFonts w:ascii="arial;sans-serif" w:hAnsi="arial;sans-serif"/>
          <w:color w:val="222222"/>
        </w:rPr>
        <w:t>For every dollar your electric bill is reduced by your community solar bill credits, you pay 75 cents.</w:t>
      </w:r>
    </w:p>
    <w:p w14:paraId="67B00C5D" w14:textId="77777777" w:rsidR="0013090D" w:rsidRDefault="0013090D" w:rsidP="0013090D">
      <w:pPr>
        <w:pStyle w:val="BodyText"/>
        <w:numPr>
          <w:ilvl w:val="0"/>
          <w:numId w:val="3"/>
        </w:numPr>
        <w:tabs>
          <w:tab w:val="left" w:pos="709"/>
        </w:tabs>
        <w:spacing w:after="0"/>
        <w:rPr>
          <w:rFonts w:ascii="arial;sans-serif" w:hAnsi="arial;sans-serif" w:hint="eastAsia"/>
          <w:color w:val="222222"/>
        </w:rPr>
      </w:pPr>
      <w:r>
        <w:rPr>
          <w:rFonts w:ascii="arial;sans-serif" w:hAnsi="arial;sans-serif"/>
          <w:color w:val="222222"/>
        </w:rPr>
        <w:t xml:space="preserve">The community solar bill credits are generated by a solar array on </w:t>
      </w:r>
      <w:proofErr w:type="spellStart"/>
      <w:r>
        <w:rPr>
          <w:rFonts w:ascii="arial;sans-serif" w:hAnsi="arial;sans-serif"/>
          <w:color w:val="222222"/>
        </w:rPr>
        <w:t>Czajkowski</w:t>
      </w:r>
      <w:proofErr w:type="spellEnd"/>
      <w:r>
        <w:rPr>
          <w:rFonts w:ascii="arial;sans-serif" w:hAnsi="arial;sans-serif"/>
          <w:color w:val="222222"/>
        </w:rPr>
        <w:t xml:space="preserve"> Farms in Hadley </w:t>
      </w:r>
      <w:proofErr w:type="gramStart"/>
      <w:r>
        <w:rPr>
          <w:rFonts w:ascii="arial;sans-serif" w:hAnsi="arial;sans-serif"/>
          <w:color w:val="222222"/>
        </w:rPr>
        <w:t>MA .</w:t>
      </w:r>
      <w:proofErr w:type="gramEnd"/>
      <w:r>
        <w:rPr>
          <w:rFonts w:ascii="arial;sans-serif" w:hAnsi="arial;sans-serif"/>
          <w:color w:val="222222"/>
        </w:rPr>
        <w:t> </w:t>
      </w:r>
    </w:p>
    <w:p w14:paraId="67D74B50" w14:textId="77777777" w:rsidR="0013090D" w:rsidRDefault="0013090D" w:rsidP="0013090D">
      <w:pPr>
        <w:pStyle w:val="BodyText"/>
        <w:numPr>
          <w:ilvl w:val="0"/>
          <w:numId w:val="3"/>
        </w:numPr>
        <w:tabs>
          <w:tab w:val="left" w:pos="709"/>
        </w:tabs>
        <w:rPr>
          <w:rFonts w:ascii="arial;sans-serif" w:hAnsi="arial;sans-serif" w:hint="eastAsia"/>
          <w:color w:val="222222"/>
        </w:rPr>
      </w:pPr>
      <w:r>
        <w:rPr>
          <w:rFonts w:ascii="arial;sans-serif" w:hAnsi="arial;sans-serif"/>
          <w:color w:val="222222"/>
        </w:rPr>
        <w:t xml:space="preserve">There's no sign-up fee or credit </w:t>
      </w:r>
      <w:proofErr w:type="gramStart"/>
      <w:r>
        <w:rPr>
          <w:rFonts w:ascii="arial;sans-serif" w:hAnsi="arial;sans-serif"/>
          <w:color w:val="222222"/>
        </w:rPr>
        <w:t>check</w:t>
      </w:r>
      <w:proofErr w:type="gramEnd"/>
    </w:p>
    <w:p w14:paraId="49711BBF" w14:textId="77777777" w:rsidR="0013090D" w:rsidRDefault="0013090D" w:rsidP="0013090D">
      <w:pPr>
        <w:pStyle w:val="BodyText"/>
        <w:numPr>
          <w:ilvl w:val="0"/>
          <w:numId w:val="4"/>
        </w:numPr>
        <w:tabs>
          <w:tab w:val="left" w:pos="709"/>
        </w:tabs>
        <w:rPr>
          <w:rFonts w:ascii="arial;sans-serif" w:hAnsi="arial;sans-serif" w:hint="eastAsia"/>
          <w:color w:val="222222"/>
        </w:rPr>
      </w:pPr>
      <w:r>
        <w:rPr>
          <w:rFonts w:ascii="arial;sans-serif" w:hAnsi="arial;sans-serif"/>
          <w:color w:val="222222"/>
        </w:rPr>
        <w:t>Free cancellation at any time </w:t>
      </w:r>
    </w:p>
    <w:p w14:paraId="13424681" w14:textId="77777777" w:rsidR="0013090D" w:rsidRDefault="0013090D" w:rsidP="0013090D">
      <w:pPr>
        <w:pStyle w:val="BodyText"/>
        <w:spacing w:after="0"/>
        <w:rPr>
          <w:rFonts w:ascii="arial;sans-serif" w:hAnsi="arial;sans-serif" w:hint="eastAsia"/>
          <w:b/>
          <w:color w:val="222222"/>
        </w:rPr>
      </w:pPr>
      <w:r>
        <w:rPr>
          <w:rFonts w:ascii="arial;sans-serif" w:hAnsi="arial;sans-serif"/>
          <w:b/>
          <w:color w:val="222222"/>
        </w:rPr>
        <w:t>Where are the community solar bill credits coming from? </w:t>
      </w:r>
    </w:p>
    <w:p w14:paraId="70978DB7" w14:textId="77777777" w:rsidR="0013090D" w:rsidRDefault="0013090D" w:rsidP="0013090D">
      <w:pPr>
        <w:pStyle w:val="BodyText"/>
        <w:spacing w:after="0"/>
        <w:rPr>
          <w:rFonts w:ascii="arial;sans-serif" w:hAnsi="arial;sans-serif" w:hint="eastAsia"/>
          <w:color w:val="222222"/>
        </w:rPr>
      </w:pPr>
      <w:proofErr w:type="spellStart"/>
      <w:r>
        <w:rPr>
          <w:rFonts w:ascii="arial;sans-serif" w:hAnsi="arial;sans-serif"/>
          <w:color w:val="222222"/>
        </w:rPr>
        <w:t>Czajkowski</w:t>
      </w:r>
      <w:proofErr w:type="spellEnd"/>
      <w:r>
        <w:rPr>
          <w:rFonts w:ascii="arial;sans-serif" w:hAnsi="arial;sans-serif"/>
          <w:color w:val="222222"/>
        </w:rPr>
        <w:t xml:space="preserve"> Farms in Hadley, MA has an exciting </w:t>
      </w:r>
      <w:proofErr w:type="spellStart"/>
      <w:r>
        <w:rPr>
          <w:rFonts w:ascii="arial;sans-serif" w:hAnsi="arial;sans-serif"/>
          <w:color w:val="222222"/>
        </w:rPr>
        <w:t>agrivoltaics</w:t>
      </w:r>
      <w:proofErr w:type="spellEnd"/>
      <w:r>
        <w:rPr>
          <w:rFonts w:ascii="arial;sans-serif" w:hAnsi="arial;sans-serif"/>
          <w:color w:val="222222"/>
        </w:rPr>
        <w:t xml:space="preserve"> project that will support vegetable growth beneath solar panels while it generates almost $35,000 per year in Eversource bill credits for income-eligible subscribers! </w:t>
      </w:r>
    </w:p>
    <w:p w14:paraId="012490EF" w14:textId="77777777" w:rsidR="0013090D" w:rsidRDefault="0013090D" w:rsidP="0013090D">
      <w:pPr>
        <w:pStyle w:val="BodyText"/>
        <w:spacing w:after="0"/>
        <w:rPr>
          <w:rFonts w:ascii="arial;sans-serif" w:hAnsi="arial;sans-serif" w:hint="eastAsia"/>
          <w:color w:val="222222"/>
        </w:rPr>
      </w:pPr>
    </w:p>
    <w:p w14:paraId="72D8C011" w14:textId="77777777" w:rsidR="0013090D" w:rsidRDefault="0013090D" w:rsidP="0013090D">
      <w:pPr>
        <w:pStyle w:val="BodyText"/>
        <w:spacing w:after="0"/>
        <w:rPr>
          <w:rFonts w:ascii="Arial;Helvetica;sans-serif" w:hAnsi="Arial;Helvetica;sans-serif" w:hint="eastAsia"/>
          <w:color w:val="222222"/>
        </w:rPr>
      </w:pPr>
    </w:p>
    <w:p w14:paraId="004D4291" w14:textId="77777777" w:rsidR="0013090D" w:rsidRDefault="0013090D" w:rsidP="0013090D">
      <w:pPr>
        <w:pStyle w:val="BodyText"/>
        <w:spacing w:after="0"/>
        <w:rPr>
          <w:rFonts w:ascii="arial;sans-serif" w:hAnsi="arial;sans-serif" w:hint="eastAsia"/>
          <w:b/>
          <w:color w:val="222222"/>
        </w:rPr>
      </w:pPr>
      <w:r>
        <w:rPr>
          <w:rFonts w:ascii="arial;sans-serif" w:hAnsi="arial;sans-serif"/>
          <w:b/>
          <w:color w:val="222222"/>
        </w:rPr>
        <w:t>Who is eligible? </w:t>
      </w:r>
    </w:p>
    <w:p w14:paraId="2EFF7364" w14:textId="77777777" w:rsidR="0013090D" w:rsidRDefault="0013090D" w:rsidP="0013090D">
      <w:pPr>
        <w:pStyle w:val="BodyText"/>
        <w:spacing w:after="0"/>
        <w:rPr>
          <w:rFonts w:hint="eastAsia"/>
          <w:color w:val="222222"/>
        </w:rPr>
      </w:pPr>
      <w:r>
        <w:rPr>
          <w:color w:val="222222"/>
        </w:rPr>
        <w:t xml:space="preserve">• </w:t>
      </w:r>
      <w:r>
        <w:rPr>
          <w:rFonts w:ascii="arial;sans-serif" w:hAnsi="arial;sans-serif"/>
          <w:color w:val="222222"/>
        </w:rPr>
        <w:t>Individual households (both homeowners and renters) who are either on the Eversource discount rate (R2/R4) OR residing in an income environmental justice census tract </w:t>
      </w:r>
    </w:p>
    <w:p w14:paraId="18FA9E72" w14:textId="77777777" w:rsidR="0013090D" w:rsidRDefault="0013090D" w:rsidP="0013090D">
      <w:pPr>
        <w:pStyle w:val="BodyText"/>
        <w:spacing w:after="0"/>
        <w:rPr>
          <w:rFonts w:hint="eastAsia"/>
          <w:color w:val="222222"/>
        </w:rPr>
      </w:pPr>
      <w:r>
        <w:rPr>
          <w:color w:val="222222"/>
        </w:rPr>
        <w:t xml:space="preserve">• </w:t>
      </w:r>
      <w:r>
        <w:rPr>
          <w:rFonts w:ascii="arial;sans-serif" w:hAnsi="arial;sans-serif"/>
          <w:color w:val="222222"/>
        </w:rPr>
        <w:t>Small businesses who are on the Eversource residential rate (R1/R3) AND located in an income environmental justice census tract </w:t>
      </w:r>
    </w:p>
    <w:p w14:paraId="619D387B" w14:textId="77777777" w:rsidR="0013090D" w:rsidRDefault="0013090D" w:rsidP="0013090D">
      <w:pPr>
        <w:pStyle w:val="BodyText"/>
        <w:spacing w:after="0"/>
        <w:rPr>
          <w:rFonts w:hint="eastAsia"/>
        </w:rPr>
      </w:pPr>
      <w:r>
        <w:rPr>
          <w:color w:val="222222"/>
        </w:rPr>
        <w:t xml:space="preserve">• </w:t>
      </w:r>
      <w:r>
        <w:rPr>
          <w:rFonts w:ascii="arial;sans-serif" w:hAnsi="arial;sans-serif"/>
          <w:color w:val="222222"/>
        </w:rPr>
        <w:t>See </w:t>
      </w:r>
      <w:hyperlink r:id="rId16">
        <w:r>
          <w:rPr>
            <w:rStyle w:val="Hyperlink"/>
            <w:rFonts w:ascii="arial;sans-serif" w:hAnsi="arial;sans-serif"/>
            <w:color w:val="1155CC"/>
          </w:rPr>
          <w:t>discount rate info here</w:t>
        </w:r>
      </w:hyperlink>
      <w:r>
        <w:rPr>
          <w:rFonts w:ascii="arial;sans-serif" w:hAnsi="arial;sans-serif"/>
          <w:color w:val="222222"/>
        </w:rPr>
        <w:t> and </w:t>
      </w:r>
      <w:hyperlink r:id="rId17">
        <w:r>
          <w:rPr>
            <w:rStyle w:val="Hyperlink"/>
            <w:rFonts w:ascii="arial;sans-serif" w:hAnsi="arial;sans-serif"/>
            <w:color w:val="1155CC"/>
          </w:rPr>
          <w:t>environmental justice info here</w:t>
        </w:r>
      </w:hyperlink>
      <w:r>
        <w:rPr>
          <w:rFonts w:ascii="arial;sans-serif" w:hAnsi="arial;sans-serif"/>
          <w:color w:val="222222"/>
        </w:rPr>
        <w:t> </w:t>
      </w:r>
    </w:p>
    <w:p w14:paraId="678CA1F2" w14:textId="77777777" w:rsidR="0013090D" w:rsidRDefault="0013090D" w:rsidP="0013090D">
      <w:pPr>
        <w:pStyle w:val="BodyText"/>
        <w:spacing w:after="0"/>
        <w:rPr>
          <w:rFonts w:ascii="arial;sans-serif" w:hAnsi="arial;sans-serif" w:hint="eastAsia"/>
          <w:color w:val="222222"/>
        </w:rPr>
      </w:pPr>
    </w:p>
    <w:p w14:paraId="192DA3E6" w14:textId="77777777" w:rsidR="0013090D" w:rsidRDefault="0013090D" w:rsidP="0013090D">
      <w:pPr>
        <w:pStyle w:val="BodyText"/>
        <w:spacing w:after="0"/>
        <w:rPr>
          <w:rFonts w:ascii="Arial;Helvetica;sans-serif" w:hAnsi="Arial;Helvetica;sans-serif" w:hint="eastAsia"/>
          <w:color w:val="222222"/>
        </w:rPr>
      </w:pPr>
      <w:r>
        <w:rPr>
          <w:rFonts w:ascii="Arial;Helvetica;sans-serif" w:hAnsi="Arial;Helvetica;sans-serif"/>
          <w:b/>
          <w:color w:val="222222"/>
        </w:rPr>
        <w:t>Learn more about the project and fill out our interest form at</w:t>
      </w:r>
      <w:r>
        <w:rPr>
          <w:rFonts w:ascii="Arial;Helvetica;sans-serif" w:hAnsi="Arial;Helvetica;sans-serif"/>
          <w:b/>
          <w:color w:val="222222"/>
        </w:rPr>
        <w:br/>
      </w:r>
      <w:r>
        <w:rPr>
          <w:rFonts w:ascii="Arial;Helvetica;sans-serif" w:hAnsi="Arial;Helvetica;sans-serif"/>
          <w:color w:val="222222"/>
        </w:rPr>
        <w:t>https://www.sunwealth.com/communitysolar/kendrick</w:t>
      </w:r>
      <w:r>
        <w:rPr>
          <w:rFonts w:ascii="Arial;Helvetica;sans-serif" w:hAnsi="Arial;Helvetica;sans-serif"/>
          <w:color w:val="222222"/>
        </w:rPr>
        <w:br/>
        <w:t>Send a copy of your latest Eversource electric bill to communitysolar@sunwealth.com.</w:t>
      </w:r>
    </w:p>
    <w:p w14:paraId="06F56003" w14:textId="77777777" w:rsidR="0013090D" w:rsidRDefault="0013090D" w:rsidP="0013090D">
      <w:pPr>
        <w:pStyle w:val="BodyText"/>
        <w:spacing w:after="0"/>
        <w:rPr>
          <w:rFonts w:ascii="arial;sans-serif" w:hAnsi="arial;sans-serif" w:hint="eastAsia"/>
          <w:color w:val="222222"/>
        </w:rPr>
      </w:pPr>
      <w:r>
        <w:rPr>
          <w:rFonts w:ascii="arial;sans-serif" w:hAnsi="arial;sans-serif"/>
          <w:color w:val="222222"/>
        </w:rPr>
        <w:t xml:space="preserve">There are limited slots </w:t>
      </w:r>
      <w:proofErr w:type="gramStart"/>
      <w:r>
        <w:rPr>
          <w:rFonts w:ascii="arial;sans-serif" w:hAnsi="arial;sans-serif"/>
          <w:color w:val="222222"/>
        </w:rPr>
        <w:t>available</w:t>
      </w:r>
      <w:proofErr w:type="gramEnd"/>
      <w:r>
        <w:rPr>
          <w:rFonts w:ascii="arial;sans-serif" w:hAnsi="arial;sans-serif"/>
          <w:color w:val="222222"/>
        </w:rPr>
        <w:t xml:space="preserve"> and we plan to finish enrollment in the new year, so contact us soon if you're interested!</w:t>
      </w:r>
    </w:p>
    <w:p w14:paraId="0E710213" w14:textId="77777777" w:rsidR="0013090D" w:rsidRDefault="0013090D" w:rsidP="0013090D">
      <w:pPr>
        <w:pStyle w:val="BodyText"/>
        <w:spacing w:after="0"/>
        <w:rPr>
          <w:rFonts w:ascii="Arial;Helvetica;sans-serif" w:hAnsi="Arial;Helvetica;sans-serif" w:hint="eastAsia"/>
          <w:color w:val="222222"/>
        </w:rPr>
      </w:pPr>
    </w:p>
    <w:p w14:paraId="2069421C" w14:textId="77777777" w:rsidR="0013090D" w:rsidRDefault="0013090D" w:rsidP="0013090D">
      <w:pPr>
        <w:pStyle w:val="BodyText"/>
        <w:spacing w:after="0"/>
        <w:rPr>
          <w:rFonts w:ascii="Arial;Helvetica;sans-serif" w:hAnsi="Arial;Helvetica;sans-serif" w:hint="eastAsia"/>
          <w:b/>
          <w:color w:val="222222"/>
        </w:rPr>
      </w:pPr>
      <w:r>
        <w:rPr>
          <w:rFonts w:ascii="Arial;Helvetica;sans-serif" w:hAnsi="Arial;Helvetica;sans-serif"/>
          <w:b/>
          <w:color w:val="222222"/>
        </w:rPr>
        <w:t>For More Info:</w:t>
      </w:r>
    </w:p>
    <w:p w14:paraId="0119F049" w14:textId="77777777" w:rsidR="0013090D" w:rsidRDefault="0013090D" w:rsidP="0013090D">
      <w:pPr>
        <w:pStyle w:val="BodyText"/>
        <w:spacing w:after="0"/>
        <w:rPr>
          <w:rFonts w:ascii="Arial;Helvetica;sans-serif" w:hAnsi="Arial;Helvetica;sans-serif" w:hint="eastAsia"/>
          <w:color w:val="222222"/>
        </w:rPr>
      </w:pPr>
      <w:r>
        <w:rPr>
          <w:rFonts w:ascii="Arial;Helvetica;sans-serif" w:hAnsi="Arial;Helvetica;sans-serif"/>
          <w:color w:val="222222"/>
        </w:rPr>
        <w:t>www.sunwealth.com/communitysolar</w:t>
      </w:r>
    </w:p>
    <w:p w14:paraId="5B23D844" w14:textId="77777777" w:rsidR="0013090D" w:rsidRDefault="0013090D" w:rsidP="0013090D">
      <w:pPr>
        <w:pStyle w:val="BodyText"/>
        <w:spacing w:after="0"/>
        <w:rPr>
          <w:rFonts w:ascii="Arial;Helvetica;sans-serif" w:hAnsi="Arial;Helvetica;sans-serif" w:hint="eastAsia"/>
          <w:color w:val="222222"/>
        </w:rPr>
      </w:pPr>
      <w:r>
        <w:rPr>
          <w:rFonts w:ascii="Arial;Helvetica;sans-serif" w:hAnsi="Arial;Helvetica;sans-serif"/>
          <w:color w:val="222222"/>
        </w:rPr>
        <w:t>communitysolar@sunwealth.com </w:t>
      </w:r>
      <w:r>
        <w:rPr>
          <w:rFonts w:ascii="Arial;Helvetica;sans-serif" w:hAnsi="Arial;Helvetica;sans-serif"/>
          <w:color w:val="222222"/>
        </w:rPr>
        <w:br/>
        <w:t>(978) 968-3598</w:t>
      </w:r>
    </w:p>
    <w:p w14:paraId="092C87F1" w14:textId="77777777" w:rsidR="0013090D" w:rsidRDefault="0013090D" w:rsidP="0013090D">
      <w:pPr>
        <w:pStyle w:val="TableContents"/>
        <w:rPr>
          <w:rFonts w:ascii="Calibri" w:hAnsi="Calibri"/>
          <w:color w:val="000000"/>
        </w:rPr>
      </w:pPr>
    </w:p>
    <w:p w14:paraId="0C67E253" w14:textId="77777777" w:rsidR="0013090D" w:rsidRDefault="0013090D" w:rsidP="0013090D">
      <w:pPr>
        <w:pStyle w:val="TableContents"/>
        <w:rPr>
          <w:rFonts w:ascii="Calibri" w:hAnsi="Calibri"/>
          <w:color w:val="000000"/>
        </w:rPr>
      </w:pPr>
    </w:p>
    <w:p w14:paraId="08623F5B" w14:textId="77777777" w:rsidR="0013090D" w:rsidRDefault="0013090D" w:rsidP="0013090D">
      <w:pPr>
        <w:rPr>
          <w:rFonts w:ascii="Calibri" w:hAnsi="Calibri"/>
          <w:color w:val="000000"/>
        </w:rPr>
      </w:pPr>
    </w:p>
    <w:p w14:paraId="3C253830" w14:textId="77777777" w:rsidR="0013090D" w:rsidRDefault="0013090D" w:rsidP="0013090D">
      <w:pPr>
        <w:rPr>
          <w:rFonts w:hint="eastAsia"/>
        </w:rPr>
      </w:pPr>
    </w:p>
    <w:p w14:paraId="7AE950C4" w14:textId="77777777" w:rsidR="0013090D" w:rsidRDefault="0013090D" w:rsidP="0013090D">
      <w:pPr>
        <w:pStyle w:val="TableContents"/>
        <w:rPr>
          <w:rFonts w:ascii="Calibri" w:hAnsi="Calibri"/>
          <w:color w:val="000000"/>
        </w:rPr>
      </w:pPr>
    </w:p>
    <w:p w14:paraId="6BF5BA24" w14:textId="5EDE4793" w:rsidR="0013090D" w:rsidRDefault="0013090D">
      <w:pPr>
        <w:rPr>
          <w:rFonts w:ascii="Helvetica Neue" w:hAnsi="Helvetica Neue" w:cs="Arial Unicode MS"/>
          <w:color w:val="000000"/>
          <w:sz w:val="22"/>
          <w:szCs w:val="22"/>
          <w:u w:color="000000"/>
          <w:lang w:eastAsia="zh-CN"/>
          <w14:textOutline w14:w="12700" w14:cap="flat" w14:cmpd="sng" w14:algn="ctr">
            <w14:noFill/>
            <w14:prstDash w14:val="solid"/>
            <w14:miter w14:lim="400000"/>
          </w14:textOutline>
        </w:rPr>
      </w:pPr>
      <w:r>
        <w:br w:type="page"/>
      </w:r>
    </w:p>
    <w:p w14:paraId="47BE441A" w14:textId="77777777" w:rsidR="0013090D" w:rsidRPr="004113B7" w:rsidRDefault="0013090D" w:rsidP="0013090D">
      <w:pPr>
        <w:jc w:val="center"/>
        <w:rPr>
          <w:b/>
          <w:bCs/>
        </w:rPr>
      </w:pPr>
      <w:r w:rsidRPr="004113B7">
        <w:rPr>
          <w:b/>
          <w:bCs/>
        </w:rPr>
        <w:lastRenderedPageBreak/>
        <w:t>Shelburne Energy Efficiency Advocate Duties</w:t>
      </w:r>
      <w:r>
        <w:rPr>
          <w:b/>
          <w:bCs/>
        </w:rPr>
        <w:t xml:space="preserve"> for 2024</w:t>
      </w:r>
    </w:p>
    <w:p w14:paraId="69476426" w14:textId="77777777" w:rsidR="0013090D" w:rsidRPr="004113B7" w:rsidRDefault="0013090D" w:rsidP="0013090D">
      <w:pPr>
        <w:jc w:val="center"/>
      </w:pPr>
      <w:r w:rsidRPr="004113B7">
        <w:t>(</w:t>
      </w:r>
      <w:proofErr w:type="gramStart"/>
      <w:r w:rsidRPr="004113B7">
        <w:t>as</w:t>
      </w:r>
      <w:proofErr w:type="gramEnd"/>
      <w:r w:rsidRPr="004113B7">
        <w:t xml:space="preserve"> agreed upon with All In Energy)</w:t>
      </w:r>
    </w:p>
    <w:p w14:paraId="72D9E350" w14:textId="77777777" w:rsidR="0013090D" w:rsidRDefault="0013090D" w:rsidP="0013090D">
      <w:pPr>
        <w:rPr>
          <w:color w:val="0000FF"/>
        </w:rPr>
      </w:pPr>
    </w:p>
    <w:p w14:paraId="2BF26847" w14:textId="77777777" w:rsidR="0013090D" w:rsidRDefault="0013090D" w:rsidP="0013090D">
      <w:r>
        <w:rPr>
          <w:color w:val="0000FF"/>
        </w:rPr>
        <w:t>Blue text</w:t>
      </w:r>
      <w:r>
        <w:t xml:space="preserve"> are things that are “if there is time” </w:t>
      </w:r>
      <w:proofErr w:type="gramStart"/>
      <w:r>
        <w:t>items</w:t>
      </w:r>
      <w:proofErr w:type="gramEnd"/>
    </w:p>
    <w:p w14:paraId="0D973B25" w14:textId="77777777" w:rsidR="0013090D" w:rsidRDefault="0013090D" w:rsidP="0013090D">
      <w:pPr>
        <w:ind w:left="720"/>
      </w:pP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4260"/>
        <w:gridCol w:w="1680"/>
      </w:tblGrid>
      <w:tr w:rsidR="0013090D" w14:paraId="2B256E3E" w14:textId="77777777" w:rsidTr="000A4892">
        <w:tc>
          <w:tcPr>
            <w:tcW w:w="2700" w:type="dxa"/>
            <w:shd w:val="clear" w:color="auto" w:fill="auto"/>
            <w:tcMar>
              <w:top w:w="100" w:type="dxa"/>
              <w:left w:w="100" w:type="dxa"/>
              <w:bottom w:w="100" w:type="dxa"/>
              <w:right w:w="100" w:type="dxa"/>
            </w:tcMar>
          </w:tcPr>
          <w:p w14:paraId="7DC4BBA0" w14:textId="77777777" w:rsidR="0013090D" w:rsidRDefault="0013090D" w:rsidP="000A4892">
            <w:pPr>
              <w:widowControl w:val="0"/>
            </w:pPr>
            <w:r>
              <w:t>Responsibility</w:t>
            </w:r>
          </w:p>
        </w:tc>
        <w:tc>
          <w:tcPr>
            <w:tcW w:w="4260" w:type="dxa"/>
            <w:shd w:val="clear" w:color="auto" w:fill="auto"/>
            <w:tcMar>
              <w:top w:w="100" w:type="dxa"/>
              <w:left w:w="100" w:type="dxa"/>
              <w:bottom w:w="100" w:type="dxa"/>
              <w:right w:w="100" w:type="dxa"/>
            </w:tcMar>
          </w:tcPr>
          <w:p w14:paraId="7F5EEA5F" w14:textId="77777777" w:rsidR="0013090D" w:rsidRDefault="0013090D" w:rsidP="000A4892">
            <w:pPr>
              <w:widowControl w:val="0"/>
            </w:pPr>
            <w:r>
              <w:t>Description</w:t>
            </w:r>
          </w:p>
        </w:tc>
        <w:tc>
          <w:tcPr>
            <w:tcW w:w="1680" w:type="dxa"/>
            <w:shd w:val="clear" w:color="auto" w:fill="auto"/>
            <w:tcMar>
              <w:top w:w="100" w:type="dxa"/>
              <w:left w:w="100" w:type="dxa"/>
              <w:bottom w:w="100" w:type="dxa"/>
              <w:right w:w="100" w:type="dxa"/>
            </w:tcMar>
          </w:tcPr>
          <w:p w14:paraId="77524B73" w14:textId="77777777" w:rsidR="0013090D" w:rsidRDefault="0013090D" w:rsidP="000A4892">
            <w:pPr>
              <w:widowControl w:val="0"/>
            </w:pPr>
            <w:r>
              <w:t>hours/week</w:t>
            </w:r>
          </w:p>
        </w:tc>
      </w:tr>
      <w:tr w:rsidR="0013090D" w14:paraId="62496176" w14:textId="77777777" w:rsidTr="000A4892">
        <w:tc>
          <w:tcPr>
            <w:tcW w:w="2700" w:type="dxa"/>
            <w:shd w:val="clear" w:color="auto" w:fill="auto"/>
            <w:tcMar>
              <w:top w:w="100" w:type="dxa"/>
              <w:left w:w="100" w:type="dxa"/>
              <w:bottom w:w="100" w:type="dxa"/>
              <w:right w:w="100" w:type="dxa"/>
            </w:tcMar>
          </w:tcPr>
          <w:p w14:paraId="560316EA" w14:textId="77777777" w:rsidR="0013090D" w:rsidRPr="00683CAB" w:rsidRDefault="0013090D" w:rsidP="000A4892">
            <w:commentRangeStart w:id="0"/>
            <w:r w:rsidRPr="00DF174E">
              <w:t>Contact existing Salesforce leads whose status is unknown (could be up to 144)</w:t>
            </w:r>
            <w:commentRangeEnd w:id="0"/>
            <w:r w:rsidRPr="00DF174E">
              <w:rPr>
                <w:rStyle w:val="CommentReference"/>
              </w:rPr>
              <w:commentReference w:id="0"/>
            </w:r>
          </w:p>
        </w:tc>
        <w:tc>
          <w:tcPr>
            <w:tcW w:w="4260" w:type="dxa"/>
            <w:shd w:val="clear" w:color="auto" w:fill="auto"/>
            <w:tcMar>
              <w:top w:w="100" w:type="dxa"/>
              <w:left w:w="100" w:type="dxa"/>
              <w:bottom w:w="100" w:type="dxa"/>
              <w:right w:w="100" w:type="dxa"/>
            </w:tcMar>
          </w:tcPr>
          <w:p w14:paraId="4F92F968" w14:textId="77777777" w:rsidR="0013090D" w:rsidRDefault="0013090D" w:rsidP="0013090D">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If customer needs assistance signing up for HEA or want info on HEAs, EA can </w:t>
            </w:r>
            <w:proofErr w:type="gramStart"/>
            <w:r>
              <w:t>help</w:t>
            </w:r>
            <w:proofErr w:type="gramEnd"/>
          </w:p>
          <w:p w14:paraId="5476E1EC" w14:textId="77777777" w:rsidR="0013090D" w:rsidRDefault="0013090D" w:rsidP="0013090D">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If people need assistance with Mass Save after doing HEA/ getting other work done, can send to CFP support </w:t>
            </w:r>
            <w:proofErr w:type="gramStart"/>
            <w:r>
              <w:t>team</w:t>
            </w:r>
            <w:proofErr w:type="gramEnd"/>
          </w:p>
          <w:p w14:paraId="6FC5FE16" w14:textId="77777777" w:rsidR="0013090D" w:rsidRDefault="0013090D" w:rsidP="0013090D">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NOT working to generate new leads</w:t>
            </w:r>
          </w:p>
        </w:tc>
        <w:tc>
          <w:tcPr>
            <w:tcW w:w="1680" w:type="dxa"/>
            <w:shd w:val="clear" w:color="auto" w:fill="auto"/>
            <w:tcMar>
              <w:top w:w="100" w:type="dxa"/>
              <w:left w:w="100" w:type="dxa"/>
              <w:bottom w:w="100" w:type="dxa"/>
              <w:right w:w="100" w:type="dxa"/>
            </w:tcMar>
          </w:tcPr>
          <w:p w14:paraId="19B18CA7" w14:textId="77777777" w:rsidR="0013090D" w:rsidRDefault="0013090D" w:rsidP="000A4892">
            <w:pPr>
              <w:widowControl w:val="0"/>
            </w:pPr>
            <w:r>
              <w:t>Most of the EA’s time once trained, along with Quality Assurance (see below)</w:t>
            </w:r>
          </w:p>
          <w:p w14:paraId="4B6DA37B" w14:textId="77777777" w:rsidR="0013090D" w:rsidRDefault="0013090D" w:rsidP="000A4892">
            <w:pPr>
              <w:widowControl w:val="0"/>
            </w:pPr>
          </w:p>
          <w:p w14:paraId="48258418" w14:textId="77777777" w:rsidR="0013090D" w:rsidRDefault="0013090D" w:rsidP="000A4892">
            <w:pPr>
              <w:widowControl w:val="0"/>
            </w:pPr>
            <w:r>
              <w:t xml:space="preserve">Possibly 2.5-3 </w:t>
            </w:r>
            <w:proofErr w:type="spellStart"/>
            <w:r>
              <w:t>hrs</w:t>
            </w:r>
            <w:proofErr w:type="spellEnd"/>
            <w:r>
              <w:t xml:space="preserve"> ongoing</w:t>
            </w:r>
          </w:p>
        </w:tc>
      </w:tr>
      <w:tr w:rsidR="0013090D" w14:paraId="731D1193" w14:textId="77777777" w:rsidTr="000A4892">
        <w:tc>
          <w:tcPr>
            <w:tcW w:w="2700" w:type="dxa"/>
            <w:shd w:val="clear" w:color="auto" w:fill="auto"/>
            <w:tcMar>
              <w:top w:w="100" w:type="dxa"/>
              <w:left w:w="100" w:type="dxa"/>
              <w:bottom w:w="100" w:type="dxa"/>
              <w:right w:w="100" w:type="dxa"/>
            </w:tcMar>
          </w:tcPr>
          <w:p w14:paraId="342CD66B" w14:textId="77777777" w:rsidR="0013090D" w:rsidRPr="00DF174E" w:rsidRDefault="0013090D" w:rsidP="000A4892">
            <w:r w:rsidRPr="00DF174E">
              <w:t>Work with new customers that reach out (from past outreach)</w:t>
            </w:r>
          </w:p>
        </w:tc>
        <w:tc>
          <w:tcPr>
            <w:tcW w:w="4260" w:type="dxa"/>
            <w:shd w:val="clear" w:color="auto" w:fill="auto"/>
            <w:tcMar>
              <w:top w:w="100" w:type="dxa"/>
              <w:left w:w="100" w:type="dxa"/>
              <w:bottom w:w="100" w:type="dxa"/>
              <w:right w:w="100" w:type="dxa"/>
            </w:tcMar>
          </w:tcPr>
          <w:p w14:paraId="372A8596" w14:textId="77777777" w:rsidR="0013090D" w:rsidRPr="00DF174E" w:rsidRDefault="0013090D" w:rsidP="0013090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DF174E">
              <w:t>Route new interested individuals to the right pathway for HEA</w:t>
            </w:r>
          </w:p>
          <w:p w14:paraId="7553A69A" w14:textId="77777777" w:rsidR="0013090D" w:rsidRPr="00DF174E" w:rsidRDefault="0013090D" w:rsidP="0013090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DF174E">
              <w:t xml:space="preserve">Use CAPV and/or CFP Support or CAPV for complicated cases and to maintain </w:t>
            </w:r>
            <w:proofErr w:type="gramStart"/>
            <w:r w:rsidRPr="00DF174E">
              <w:t>partnership</w:t>
            </w:r>
            <w:proofErr w:type="gramEnd"/>
          </w:p>
          <w:p w14:paraId="252B5D5B" w14:textId="77777777" w:rsidR="0013090D" w:rsidRPr="00DF174E" w:rsidRDefault="0013090D" w:rsidP="0013090D">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DF174E">
              <w:t>Check in periodically with CAPV about customer status</w:t>
            </w:r>
          </w:p>
        </w:tc>
        <w:tc>
          <w:tcPr>
            <w:tcW w:w="1680" w:type="dxa"/>
            <w:shd w:val="clear" w:color="auto" w:fill="auto"/>
            <w:tcMar>
              <w:top w:w="100" w:type="dxa"/>
              <w:left w:w="100" w:type="dxa"/>
              <w:bottom w:w="100" w:type="dxa"/>
              <w:right w:w="100" w:type="dxa"/>
            </w:tcMar>
          </w:tcPr>
          <w:p w14:paraId="0BA925D5" w14:textId="77777777" w:rsidR="0013090D" w:rsidRPr="00DF174E" w:rsidRDefault="0013090D" w:rsidP="000A4892">
            <w:pPr>
              <w:widowControl w:val="0"/>
            </w:pPr>
            <w:r w:rsidRPr="00DF174E">
              <w:t>Very few likely</w:t>
            </w:r>
          </w:p>
        </w:tc>
      </w:tr>
      <w:tr w:rsidR="0013090D" w14:paraId="38CC4566" w14:textId="77777777" w:rsidTr="000A4892">
        <w:tc>
          <w:tcPr>
            <w:tcW w:w="2700" w:type="dxa"/>
            <w:shd w:val="clear" w:color="auto" w:fill="auto"/>
            <w:tcMar>
              <w:top w:w="100" w:type="dxa"/>
              <w:left w:w="100" w:type="dxa"/>
              <w:bottom w:w="100" w:type="dxa"/>
              <w:right w:w="100" w:type="dxa"/>
            </w:tcMar>
          </w:tcPr>
          <w:p w14:paraId="3D383342" w14:textId="77777777" w:rsidR="0013090D" w:rsidRDefault="0013090D" w:rsidP="000A4892">
            <w:r>
              <w:t>Biweekly meetings and trainings</w:t>
            </w:r>
          </w:p>
        </w:tc>
        <w:tc>
          <w:tcPr>
            <w:tcW w:w="4260" w:type="dxa"/>
            <w:shd w:val="clear" w:color="auto" w:fill="auto"/>
            <w:tcMar>
              <w:top w:w="100" w:type="dxa"/>
              <w:left w:w="100" w:type="dxa"/>
              <w:bottom w:w="100" w:type="dxa"/>
              <w:right w:w="100" w:type="dxa"/>
            </w:tcMar>
          </w:tcPr>
          <w:p w14:paraId="30133262" w14:textId="77777777" w:rsidR="0013090D" w:rsidRDefault="0013090D" w:rsidP="001309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Use biweekly meetings as opportunity to check in with </w:t>
            </w:r>
            <w:proofErr w:type="gramStart"/>
            <w:r>
              <w:t>HPC</w:t>
            </w:r>
            <w:proofErr w:type="gramEnd"/>
            <w:r>
              <w:t xml:space="preserve"> </w:t>
            </w:r>
          </w:p>
          <w:p w14:paraId="6B80B769" w14:textId="77777777" w:rsidR="0013090D" w:rsidRDefault="0013090D" w:rsidP="001309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Suggest to HPC potential opportunities for </w:t>
            </w:r>
            <w:proofErr w:type="gramStart"/>
            <w:r>
              <w:t>events</w:t>
            </w:r>
            <w:proofErr w:type="gramEnd"/>
          </w:p>
          <w:p w14:paraId="440920DE" w14:textId="77777777" w:rsidR="0013090D" w:rsidRDefault="0013090D" w:rsidP="001309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Check in with Program Manager and strategize/ask </w:t>
            </w:r>
            <w:proofErr w:type="gramStart"/>
            <w:r>
              <w:t>questions</w:t>
            </w:r>
            <w:proofErr w:type="gramEnd"/>
          </w:p>
          <w:p w14:paraId="2D3EC9E1" w14:textId="77777777" w:rsidR="0013090D" w:rsidRDefault="0013090D" w:rsidP="001309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Strategize about moderate income outreach</w:t>
            </w:r>
          </w:p>
        </w:tc>
        <w:tc>
          <w:tcPr>
            <w:tcW w:w="1680" w:type="dxa"/>
            <w:shd w:val="clear" w:color="auto" w:fill="auto"/>
            <w:tcMar>
              <w:top w:w="100" w:type="dxa"/>
              <w:left w:w="100" w:type="dxa"/>
              <w:bottom w:w="100" w:type="dxa"/>
              <w:right w:w="100" w:type="dxa"/>
            </w:tcMar>
          </w:tcPr>
          <w:p w14:paraId="5CD37F6C" w14:textId="77777777" w:rsidR="0013090D" w:rsidRDefault="0013090D" w:rsidP="000A4892">
            <w:pPr>
              <w:widowControl w:val="0"/>
            </w:pPr>
            <w:r>
              <w:t>.75</w:t>
            </w:r>
          </w:p>
        </w:tc>
      </w:tr>
      <w:tr w:rsidR="0013090D" w14:paraId="26D77A4F" w14:textId="77777777" w:rsidTr="000A4892">
        <w:tc>
          <w:tcPr>
            <w:tcW w:w="2700" w:type="dxa"/>
            <w:shd w:val="clear" w:color="auto" w:fill="auto"/>
            <w:tcMar>
              <w:top w:w="100" w:type="dxa"/>
              <w:left w:w="100" w:type="dxa"/>
              <w:bottom w:w="100" w:type="dxa"/>
              <w:right w:w="100" w:type="dxa"/>
            </w:tcMar>
          </w:tcPr>
          <w:p w14:paraId="0F8F3ADE" w14:textId="77777777" w:rsidR="0013090D" w:rsidRDefault="0013090D" w:rsidP="000A4892">
            <w:r>
              <w:t>Activity tracking</w:t>
            </w:r>
          </w:p>
        </w:tc>
        <w:tc>
          <w:tcPr>
            <w:tcW w:w="4260" w:type="dxa"/>
            <w:shd w:val="clear" w:color="auto" w:fill="auto"/>
            <w:tcMar>
              <w:top w:w="100" w:type="dxa"/>
              <w:left w:w="100" w:type="dxa"/>
              <w:bottom w:w="100" w:type="dxa"/>
              <w:right w:w="100" w:type="dxa"/>
            </w:tcMar>
          </w:tcPr>
          <w:p w14:paraId="04D1FDD7" w14:textId="77777777" w:rsidR="0013090D" w:rsidRDefault="0013090D" w:rsidP="0013090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HPC tracks their </w:t>
            </w:r>
            <w:proofErr w:type="gramStart"/>
            <w:r>
              <w:t>activities</w:t>
            </w:r>
            <w:proofErr w:type="gramEnd"/>
          </w:p>
          <w:p w14:paraId="0703D483" w14:textId="77777777" w:rsidR="0013090D" w:rsidRDefault="0013090D" w:rsidP="0013090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EA tracks their </w:t>
            </w:r>
            <w:proofErr w:type="gramStart"/>
            <w:r>
              <w:t>activities</w:t>
            </w:r>
            <w:proofErr w:type="gramEnd"/>
          </w:p>
          <w:p w14:paraId="38FC49EE" w14:textId="77777777" w:rsidR="0013090D" w:rsidRDefault="0013090D" w:rsidP="000A4892">
            <w:pPr>
              <w:ind w:left="360"/>
            </w:pPr>
            <w:r>
              <w:t>(</w:t>
            </w:r>
            <w:proofErr w:type="gramStart"/>
            <w:r>
              <w:t>for</w:t>
            </w:r>
            <w:proofErr w:type="gramEnd"/>
            <w:r>
              <w:t xml:space="preserve"> outreach calls/assistance, EA tracks 1 month worth as 1 activity, but notes numbers of customers reached.  Otherwise, each activity has </w:t>
            </w:r>
            <w:proofErr w:type="spellStart"/>
            <w:proofErr w:type="gramStart"/>
            <w:r>
              <w:t>it’s</w:t>
            </w:r>
            <w:proofErr w:type="spellEnd"/>
            <w:proofErr w:type="gramEnd"/>
            <w:r>
              <w:t xml:space="preserve"> own entry)</w:t>
            </w:r>
          </w:p>
        </w:tc>
        <w:tc>
          <w:tcPr>
            <w:tcW w:w="1680" w:type="dxa"/>
            <w:shd w:val="clear" w:color="auto" w:fill="auto"/>
            <w:tcMar>
              <w:top w:w="100" w:type="dxa"/>
              <w:left w:w="100" w:type="dxa"/>
              <w:bottom w:w="100" w:type="dxa"/>
              <w:right w:w="100" w:type="dxa"/>
            </w:tcMar>
          </w:tcPr>
          <w:p w14:paraId="41AD0CF9" w14:textId="77777777" w:rsidR="0013090D" w:rsidRDefault="0013090D" w:rsidP="000A4892">
            <w:pPr>
              <w:widowControl w:val="0"/>
            </w:pPr>
            <w:r>
              <w:t>.5</w:t>
            </w:r>
          </w:p>
        </w:tc>
      </w:tr>
      <w:tr w:rsidR="0013090D" w14:paraId="6D414855" w14:textId="77777777" w:rsidTr="000A4892">
        <w:tc>
          <w:tcPr>
            <w:tcW w:w="2700" w:type="dxa"/>
            <w:shd w:val="clear" w:color="auto" w:fill="auto"/>
            <w:tcMar>
              <w:top w:w="100" w:type="dxa"/>
              <w:left w:w="100" w:type="dxa"/>
              <w:bottom w:w="100" w:type="dxa"/>
              <w:right w:w="100" w:type="dxa"/>
            </w:tcMar>
          </w:tcPr>
          <w:p w14:paraId="337BF7F9" w14:textId="77777777" w:rsidR="0013090D" w:rsidRDefault="0013090D" w:rsidP="000A4892">
            <w:pPr>
              <w:widowControl w:val="0"/>
            </w:pPr>
            <w:r>
              <w:t>Salesforce updating</w:t>
            </w:r>
          </w:p>
        </w:tc>
        <w:tc>
          <w:tcPr>
            <w:tcW w:w="4260" w:type="dxa"/>
            <w:shd w:val="clear" w:color="auto" w:fill="auto"/>
            <w:tcMar>
              <w:top w:w="100" w:type="dxa"/>
              <w:left w:w="100" w:type="dxa"/>
              <w:bottom w:w="100" w:type="dxa"/>
              <w:right w:w="100" w:type="dxa"/>
            </w:tcMar>
          </w:tcPr>
          <w:p w14:paraId="35E4EC0A" w14:textId="77777777" w:rsidR="0013090D" w:rsidRDefault="0013090D" w:rsidP="0013090D">
            <w:pPr>
              <w:widowControl w:val="0"/>
              <w:numPr>
                <w:ilvl w:val="0"/>
                <w:numId w:val="6"/>
              </w:numPr>
              <w:pBdr>
                <w:bar w:val="none" w:sz="0" w:color="auto"/>
              </w:pBdr>
            </w:pPr>
            <w:r>
              <w:t>144 existing leads</w:t>
            </w:r>
          </w:p>
          <w:p w14:paraId="2A401AA5" w14:textId="77777777" w:rsidR="0013090D" w:rsidRDefault="0013090D" w:rsidP="0013090D">
            <w:pPr>
              <w:widowControl w:val="0"/>
              <w:numPr>
                <w:ilvl w:val="0"/>
                <w:numId w:val="6"/>
              </w:numPr>
              <w:pBdr>
                <w:bar w:val="none" w:sz="0" w:color="auto"/>
              </w:pBdr>
            </w:pPr>
            <w:r>
              <w:lastRenderedPageBreak/>
              <w:t>Can send residents having more complicated issues with Mass Save program to CFP support team (email to Serra, CFP Support and cc Tasha)</w:t>
            </w:r>
          </w:p>
        </w:tc>
        <w:tc>
          <w:tcPr>
            <w:tcW w:w="1680" w:type="dxa"/>
            <w:shd w:val="clear" w:color="auto" w:fill="auto"/>
            <w:tcMar>
              <w:top w:w="100" w:type="dxa"/>
              <w:left w:w="100" w:type="dxa"/>
              <w:bottom w:w="100" w:type="dxa"/>
              <w:right w:w="100" w:type="dxa"/>
            </w:tcMar>
          </w:tcPr>
          <w:p w14:paraId="784AEBB4" w14:textId="77777777" w:rsidR="0013090D" w:rsidRDefault="0013090D" w:rsidP="000A4892">
            <w:pPr>
              <w:widowControl w:val="0"/>
            </w:pPr>
          </w:p>
        </w:tc>
      </w:tr>
      <w:tr w:rsidR="0013090D" w14:paraId="39C4DF09" w14:textId="77777777" w:rsidTr="000A4892">
        <w:tc>
          <w:tcPr>
            <w:tcW w:w="2700" w:type="dxa"/>
            <w:shd w:val="clear" w:color="auto" w:fill="auto"/>
            <w:tcMar>
              <w:top w:w="100" w:type="dxa"/>
              <w:left w:w="100" w:type="dxa"/>
              <w:bottom w:w="100" w:type="dxa"/>
              <w:right w:w="100" w:type="dxa"/>
            </w:tcMar>
          </w:tcPr>
          <w:p w14:paraId="7C80CCF3" w14:textId="77777777" w:rsidR="0013090D" w:rsidRPr="00683CAB" w:rsidRDefault="0013090D" w:rsidP="000A4892">
            <w:pPr>
              <w:widowControl w:val="0"/>
            </w:pPr>
            <w:r w:rsidRPr="00683CAB">
              <w:t>In person events w/ energy committee</w:t>
            </w:r>
          </w:p>
        </w:tc>
        <w:tc>
          <w:tcPr>
            <w:tcW w:w="4260" w:type="dxa"/>
            <w:shd w:val="clear" w:color="auto" w:fill="auto"/>
            <w:tcMar>
              <w:top w:w="100" w:type="dxa"/>
              <w:left w:w="100" w:type="dxa"/>
              <w:bottom w:w="100" w:type="dxa"/>
              <w:right w:w="100" w:type="dxa"/>
            </w:tcMar>
          </w:tcPr>
          <w:p w14:paraId="74439204" w14:textId="77777777" w:rsidR="0013090D" w:rsidRDefault="0013090D" w:rsidP="0013090D">
            <w:pPr>
              <w:widowControl w:val="0"/>
              <w:numPr>
                <w:ilvl w:val="0"/>
                <w:numId w:val="7"/>
              </w:numPr>
              <w:pBdr>
                <w:bar w:val="none" w:sz="0" w:color="auto"/>
              </w:pBdr>
            </w:pPr>
            <w:r>
              <w:t>Grange Fair (Aug ‘24)</w:t>
            </w:r>
          </w:p>
          <w:p w14:paraId="5F459A83" w14:textId="77777777" w:rsidR="0013090D" w:rsidRDefault="0013090D" w:rsidP="0013090D">
            <w:pPr>
              <w:widowControl w:val="0"/>
              <w:numPr>
                <w:ilvl w:val="0"/>
                <w:numId w:val="7"/>
              </w:numPr>
              <w:pBdr>
                <w:bar w:val="none" w:sz="0" w:color="auto"/>
              </w:pBdr>
            </w:pPr>
            <w:r>
              <w:t>Farmers Market (Nov ‘24)</w:t>
            </w:r>
          </w:p>
          <w:p w14:paraId="0C45858F" w14:textId="77777777" w:rsidR="0013090D" w:rsidRDefault="0013090D" w:rsidP="0013090D">
            <w:pPr>
              <w:widowControl w:val="0"/>
              <w:numPr>
                <w:ilvl w:val="0"/>
                <w:numId w:val="7"/>
              </w:numPr>
              <w:pBdr>
                <w:bar w:val="none" w:sz="0" w:color="auto"/>
              </w:pBdr>
            </w:pPr>
            <w:r>
              <w:t>Likely third event, health fair</w:t>
            </w:r>
          </w:p>
        </w:tc>
        <w:tc>
          <w:tcPr>
            <w:tcW w:w="1680" w:type="dxa"/>
            <w:shd w:val="clear" w:color="auto" w:fill="auto"/>
            <w:tcMar>
              <w:top w:w="100" w:type="dxa"/>
              <w:left w:w="100" w:type="dxa"/>
              <w:bottom w:w="100" w:type="dxa"/>
              <w:right w:w="100" w:type="dxa"/>
            </w:tcMar>
          </w:tcPr>
          <w:p w14:paraId="62217CFD" w14:textId="77777777" w:rsidR="0013090D" w:rsidRDefault="0013090D" w:rsidP="000A4892">
            <w:pPr>
              <w:widowControl w:val="0"/>
            </w:pPr>
          </w:p>
        </w:tc>
      </w:tr>
      <w:tr w:rsidR="0013090D" w14:paraId="43AF4478" w14:textId="77777777" w:rsidTr="000A4892">
        <w:tc>
          <w:tcPr>
            <w:tcW w:w="2700" w:type="dxa"/>
            <w:shd w:val="clear" w:color="auto" w:fill="auto"/>
            <w:tcMar>
              <w:top w:w="100" w:type="dxa"/>
              <w:left w:w="100" w:type="dxa"/>
              <w:bottom w:w="100" w:type="dxa"/>
              <w:right w:w="100" w:type="dxa"/>
            </w:tcMar>
          </w:tcPr>
          <w:p w14:paraId="50AD300A" w14:textId="77777777" w:rsidR="0013090D" w:rsidRPr="00683CAB" w:rsidRDefault="0013090D" w:rsidP="000A4892">
            <w:pPr>
              <w:widowControl w:val="0"/>
            </w:pPr>
            <w:r w:rsidRPr="00683CAB">
              <w:t>Quality assurance</w:t>
            </w:r>
          </w:p>
        </w:tc>
        <w:tc>
          <w:tcPr>
            <w:tcW w:w="4260" w:type="dxa"/>
            <w:shd w:val="clear" w:color="auto" w:fill="auto"/>
            <w:tcMar>
              <w:top w:w="100" w:type="dxa"/>
              <w:left w:w="100" w:type="dxa"/>
              <w:bottom w:w="100" w:type="dxa"/>
              <w:right w:w="100" w:type="dxa"/>
            </w:tcMar>
          </w:tcPr>
          <w:p w14:paraId="1F18CC52" w14:textId="77777777" w:rsidR="0013090D" w:rsidRDefault="0013090D" w:rsidP="0013090D">
            <w:pPr>
              <w:widowControl w:val="0"/>
              <w:numPr>
                <w:ilvl w:val="0"/>
                <w:numId w:val="8"/>
              </w:numPr>
              <w:pBdr>
                <w:bar w:val="none" w:sz="0" w:color="auto"/>
              </w:pBdr>
            </w:pPr>
            <w:r>
              <w:t xml:space="preserve">Create poll for evaluating </w:t>
            </w:r>
            <w:proofErr w:type="gramStart"/>
            <w:r>
              <w:t>quality</w:t>
            </w:r>
            <w:proofErr w:type="gramEnd"/>
          </w:p>
          <w:p w14:paraId="156333B8" w14:textId="77777777" w:rsidR="0013090D" w:rsidRDefault="0013090D" w:rsidP="0013090D">
            <w:pPr>
              <w:widowControl w:val="0"/>
              <w:numPr>
                <w:ilvl w:val="0"/>
                <w:numId w:val="8"/>
              </w:numPr>
              <w:pBdr>
                <w:bar w:val="none" w:sz="0" w:color="auto"/>
              </w:pBdr>
            </w:pPr>
            <w:r>
              <w:t xml:space="preserve">Send poll to </w:t>
            </w:r>
            <w:proofErr w:type="gramStart"/>
            <w:r>
              <w:t>residents</w:t>
            </w:r>
            <w:proofErr w:type="gramEnd"/>
          </w:p>
          <w:p w14:paraId="19C3C9BA" w14:textId="77777777" w:rsidR="0013090D" w:rsidRDefault="0013090D" w:rsidP="0013090D">
            <w:pPr>
              <w:widowControl w:val="0"/>
              <w:numPr>
                <w:ilvl w:val="0"/>
                <w:numId w:val="8"/>
              </w:numPr>
              <w:pBdr>
                <w:bar w:val="none" w:sz="0" w:color="auto"/>
              </w:pBdr>
            </w:pPr>
            <w:r>
              <w:t xml:space="preserve">Analyze results, making suggestions for </w:t>
            </w:r>
            <w:proofErr w:type="gramStart"/>
            <w:r>
              <w:t>improvement</w:t>
            </w:r>
            <w:proofErr w:type="gramEnd"/>
          </w:p>
          <w:p w14:paraId="071E9AAC" w14:textId="77777777" w:rsidR="0013090D" w:rsidRDefault="0013090D" w:rsidP="0013090D">
            <w:pPr>
              <w:widowControl w:val="0"/>
              <w:numPr>
                <w:ilvl w:val="0"/>
                <w:numId w:val="8"/>
              </w:numPr>
              <w:pBdr>
                <w:bar w:val="none" w:sz="0" w:color="auto"/>
              </w:pBdr>
            </w:pPr>
            <w:r>
              <w:t>In the case of Revise customers, provide Revise with feedback</w:t>
            </w:r>
          </w:p>
        </w:tc>
        <w:tc>
          <w:tcPr>
            <w:tcW w:w="1680" w:type="dxa"/>
            <w:shd w:val="clear" w:color="auto" w:fill="auto"/>
            <w:tcMar>
              <w:top w:w="100" w:type="dxa"/>
              <w:left w:w="100" w:type="dxa"/>
              <w:bottom w:w="100" w:type="dxa"/>
              <w:right w:w="100" w:type="dxa"/>
            </w:tcMar>
          </w:tcPr>
          <w:p w14:paraId="3C207181" w14:textId="77777777" w:rsidR="0013090D" w:rsidRDefault="0013090D" w:rsidP="000A4892">
            <w:pPr>
              <w:widowControl w:val="0"/>
            </w:pPr>
            <w:r>
              <w:t>Likely during first weeks</w:t>
            </w:r>
          </w:p>
        </w:tc>
      </w:tr>
      <w:tr w:rsidR="0013090D" w14:paraId="1582FEB4" w14:textId="77777777" w:rsidTr="000A4892">
        <w:tc>
          <w:tcPr>
            <w:tcW w:w="2700" w:type="dxa"/>
            <w:shd w:val="clear" w:color="auto" w:fill="auto"/>
            <w:tcMar>
              <w:top w:w="100" w:type="dxa"/>
              <w:left w:w="100" w:type="dxa"/>
              <w:bottom w:w="100" w:type="dxa"/>
              <w:right w:w="100" w:type="dxa"/>
            </w:tcMar>
          </w:tcPr>
          <w:p w14:paraId="35E28AEF" w14:textId="77777777" w:rsidR="0013090D" w:rsidRPr="00683CAB" w:rsidRDefault="0013090D" w:rsidP="000A4892">
            <w:pPr>
              <w:widowControl w:val="0"/>
              <w:rPr>
                <w:color w:val="0000FF"/>
              </w:rPr>
            </w:pPr>
            <w:r w:rsidRPr="00683CAB">
              <w:rPr>
                <w:color w:val="0000FF"/>
              </w:rPr>
              <w:t>Landlord</w:t>
            </w:r>
            <w:r>
              <w:rPr>
                <w:color w:val="0000FF"/>
              </w:rPr>
              <w:t xml:space="preserve"> and Renter</w:t>
            </w:r>
            <w:r w:rsidRPr="00683CAB">
              <w:rPr>
                <w:color w:val="0000FF"/>
              </w:rPr>
              <w:t xml:space="preserve"> outreach</w:t>
            </w:r>
          </w:p>
        </w:tc>
        <w:tc>
          <w:tcPr>
            <w:tcW w:w="4260" w:type="dxa"/>
            <w:shd w:val="clear" w:color="auto" w:fill="auto"/>
            <w:tcMar>
              <w:top w:w="100" w:type="dxa"/>
              <w:left w:w="100" w:type="dxa"/>
              <w:bottom w:w="100" w:type="dxa"/>
              <w:right w:w="100" w:type="dxa"/>
            </w:tcMar>
          </w:tcPr>
          <w:p w14:paraId="4EF8B669" w14:textId="77777777" w:rsidR="0013090D" w:rsidRDefault="0013090D" w:rsidP="0013090D">
            <w:pPr>
              <w:widowControl w:val="0"/>
              <w:numPr>
                <w:ilvl w:val="0"/>
                <w:numId w:val="11"/>
              </w:numPr>
              <w:pBdr>
                <w:bar w:val="none" w:sz="0" w:color="auto"/>
              </w:pBdr>
            </w:pPr>
            <w:r>
              <w:t>Potentially mailer</w:t>
            </w:r>
          </w:p>
          <w:p w14:paraId="367AADD7" w14:textId="77777777" w:rsidR="0013090D" w:rsidRDefault="0013090D" w:rsidP="0013090D">
            <w:pPr>
              <w:widowControl w:val="0"/>
              <w:numPr>
                <w:ilvl w:val="0"/>
                <w:numId w:val="11"/>
              </w:numPr>
              <w:pBdr>
                <w:bar w:val="none" w:sz="0" w:color="auto"/>
              </w:pBdr>
            </w:pPr>
            <w:r>
              <w:t>May follow up with Zoom session</w:t>
            </w:r>
          </w:p>
        </w:tc>
        <w:tc>
          <w:tcPr>
            <w:tcW w:w="1680" w:type="dxa"/>
            <w:shd w:val="clear" w:color="auto" w:fill="auto"/>
            <w:tcMar>
              <w:top w:w="100" w:type="dxa"/>
              <w:left w:w="100" w:type="dxa"/>
              <w:bottom w:w="100" w:type="dxa"/>
              <w:right w:w="100" w:type="dxa"/>
            </w:tcMar>
          </w:tcPr>
          <w:p w14:paraId="1B6BE6D3" w14:textId="77777777" w:rsidR="0013090D" w:rsidRDefault="0013090D" w:rsidP="000A4892">
            <w:pPr>
              <w:widowControl w:val="0"/>
            </w:pPr>
          </w:p>
        </w:tc>
      </w:tr>
      <w:tr w:rsidR="0013090D" w14:paraId="1551CF31" w14:textId="77777777" w:rsidTr="000A4892">
        <w:tc>
          <w:tcPr>
            <w:tcW w:w="2700" w:type="dxa"/>
            <w:shd w:val="clear" w:color="auto" w:fill="auto"/>
            <w:tcMar>
              <w:top w:w="100" w:type="dxa"/>
              <w:left w:w="100" w:type="dxa"/>
              <w:bottom w:w="100" w:type="dxa"/>
              <w:right w:w="100" w:type="dxa"/>
            </w:tcMar>
          </w:tcPr>
          <w:p w14:paraId="5D71EEE5" w14:textId="77777777" w:rsidR="0013090D" w:rsidRPr="00683CAB" w:rsidRDefault="0013090D" w:rsidP="000A4892">
            <w:pPr>
              <w:widowControl w:val="0"/>
            </w:pPr>
            <w:r w:rsidRPr="00683CAB">
              <w:rPr>
                <w:color w:val="0000FF"/>
              </w:rPr>
              <w:t>Monthly E-Newsletter blurbs</w:t>
            </w:r>
          </w:p>
        </w:tc>
        <w:tc>
          <w:tcPr>
            <w:tcW w:w="4260" w:type="dxa"/>
            <w:shd w:val="clear" w:color="auto" w:fill="auto"/>
            <w:tcMar>
              <w:top w:w="100" w:type="dxa"/>
              <w:left w:w="100" w:type="dxa"/>
              <w:bottom w:w="100" w:type="dxa"/>
              <w:right w:w="100" w:type="dxa"/>
            </w:tcMar>
          </w:tcPr>
          <w:p w14:paraId="76E6A72C" w14:textId="77777777" w:rsidR="0013090D" w:rsidRPr="00B82C72" w:rsidRDefault="0013090D" w:rsidP="0013090D">
            <w:pPr>
              <w:pStyle w:val="ListParagraph"/>
              <w:widowControl w:val="0"/>
              <w:numPr>
                <w:ilvl w:val="0"/>
                <w:numId w:val="13"/>
              </w:numPr>
              <w:pBdr>
                <w:top w:val="nil"/>
                <w:left w:val="nil"/>
                <w:bottom w:val="nil"/>
                <w:right w:val="nil"/>
                <w:between w:val="nil"/>
              </w:pBdr>
              <w:spacing w:line="240" w:lineRule="auto"/>
              <w:rPr>
                <w:sz w:val="24"/>
                <w:szCs w:val="24"/>
              </w:rPr>
            </w:pPr>
            <w:r w:rsidRPr="00B82C72">
              <w:rPr>
                <w:sz w:val="24"/>
                <w:szCs w:val="24"/>
              </w:rPr>
              <w:t>If tips for residents are beneficial to your work, coordinate with energy committee to submit something</w:t>
            </w:r>
          </w:p>
        </w:tc>
        <w:tc>
          <w:tcPr>
            <w:tcW w:w="1680" w:type="dxa"/>
            <w:shd w:val="clear" w:color="auto" w:fill="auto"/>
            <w:tcMar>
              <w:top w:w="100" w:type="dxa"/>
              <w:left w:w="100" w:type="dxa"/>
              <w:bottom w:w="100" w:type="dxa"/>
              <w:right w:w="100" w:type="dxa"/>
            </w:tcMar>
          </w:tcPr>
          <w:p w14:paraId="09A836FA" w14:textId="77777777" w:rsidR="0013090D" w:rsidRDefault="0013090D" w:rsidP="000A4892">
            <w:pPr>
              <w:widowControl w:val="0"/>
            </w:pPr>
            <w:r>
              <w:t>.5</w:t>
            </w:r>
          </w:p>
        </w:tc>
      </w:tr>
      <w:tr w:rsidR="0013090D" w14:paraId="0BD8BF94" w14:textId="77777777" w:rsidTr="000A4892">
        <w:tc>
          <w:tcPr>
            <w:tcW w:w="2700" w:type="dxa"/>
            <w:shd w:val="clear" w:color="auto" w:fill="auto"/>
            <w:tcMar>
              <w:top w:w="100" w:type="dxa"/>
              <w:left w:w="100" w:type="dxa"/>
              <w:bottom w:w="100" w:type="dxa"/>
              <w:right w:w="100" w:type="dxa"/>
            </w:tcMar>
          </w:tcPr>
          <w:p w14:paraId="7E865161" w14:textId="77777777" w:rsidR="0013090D" w:rsidRPr="00683CAB" w:rsidRDefault="0013090D" w:rsidP="000A4892">
            <w:pPr>
              <w:widowControl w:val="0"/>
              <w:rPr>
                <w:color w:val="0000FF"/>
              </w:rPr>
            </w:pPr>
            <w:r w:rsidRPr="00683CAB">
              <w:rPr>
                <w:color w:val="0000FF"/>
              </w:rPr>
              <w:t>Senior Center outreach</w:t>
            </w:r>
          </w:p>
        </w:tc>
        <w:tc>
          <w:tcPr>
            <w:tcW w:w="4260" w:type="dxa"/>
            <w:shd w:val="clear" w:color="auto" w:fill="auto"/>
            <w:tcMar>
              <w:top w:w="100" w:type="dxa"/>
              <w:left w:w="100" w:type="dxa"/>
              <w:bottom w:w="100" w:type="dxa"/>
              <w:right w:w="100" w:type="dxa"/>
            </w:tcMar>
          </w:tcPr>
          <w:p w14:paraId="01ECFA7E" w14:textId="77777777" w:rsidR="0013090D" w:rsidRDefault="0013090D" w:rsidP="001309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Discuss the possibility of HPC working with Senior Center</w:t>
            </w:r>
          </w:p>
          <w:p w14:paraId="7B5257D0" w14:textId="77777777" w:rsidR="0013090D" w:rsidRDefault="0013090D" w:rsidP="001309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EA and Program Manager can help strategize</w:t>
            </w:r>
          </w:p>
        </w:tc>
        <w:tc>
          <w:tcPr>
            <w:tcW w:w="1680" w:type="dxa"/>
            <w:shd w:val="clear" w:color="auto" w:fill="auto"/>
            <w:tcMar>
              <w:top w:w="100" w:type="dxa"/>
              <w:left w:w="100" w:type="dxa"/>
              <w:bottom w:w="100" w:type="dxa"/>
              <w:right w:w="100" w:type="dxa"/>
            </w:tcMar>
          </w:tcPr>
          <w:p w14:paraId="20FFAE91" w14:textId="77777777" w:rsidR="0013090D" w:rsidRDefault="0013090D" w:rsidP="000A4892">
            <w:pPr>
              <w:widowControl w:val="0"/>
            </w:pPr>
          </w:p>
        </w:tc>
      </w:tr>
    </w:tbl>
    <w:p w14:paraId="153A4E82" w14:textId="77777777" w:rsidR="0013090D" w:rsidRDefault="0013090D" w:rsidP="0013090D">
      <w:pPr>
        <w:ind w:left="720"/>
      </w:pPr>
    </w:p>
    <w:p w14:paraId="78E29E79" w14:textId="77777777" w:rsidR="0013090D" w:rsidRDefault="0013090D" w:rsidP="0013090D"/>
    <w:p w14:paraId="3F5AB650" w14:textId="23C3D144" w:rsidR="00E70143" w:rsidRPr="0013090D" w:rsidRDefault="00E70143" w:rsidP="0013090D">
      <w:pPr>
        <w:rPr>
          <w:rFonts w:ascii="Helvetica Neue" w:hAnsi="Helvetica Neue" w:cs="Arial Unicode MS"/>
          <w:color w:val="000000"/>
          <w:sz w:val="22"/>
          <w:szCs w:val="22"/>
          <w:u w:color="000000"/>
          <w:lang w:eastAsia="zh-CN"/>
          <w14:textOutline w14:w="12700" w14:cap="flat" w14:cmpd="sng" w14:algn="ctr">
            <w14:noFill/>
            <w14:prstDash w14:val="solid"/>
            <w14:miter w14:lim="400000"/>
          </w14:textOutline>
        </w:rPr>
      </w:pPr>
    </w:p>
    <w:sectPr w:rsidR="00E70143" w:rsidRPr="0013090D">
      <w:headerReference w:type="default" r:id="rId22"/>
      <w:footerReference w:type="default" r:id="rId23"/>
      <w:pgSz w:w="12240" w:h="15840"/>
      <w:pgMar w:top="1440" w:right="1440" w:bottom="1440" w:left="1440" w:header="720" w:footer="86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ynthia Boettner" w:date="2023-11-22T06:45:00Z" w:initials="CB">
    <w:p w14:paraId="28E69293" w14:textId="77777777" w:rsidR="0013090D" w:rsidRDefault="0013090D" w:rsidP="0013090D">
      <w:pPr>
        <w:pStyle w:val="CommentText"/>
      </w:pPr>
      <w:r>
        <w:rPr>
          <w:rStyle w:val="CommentReference"/>
        </w:rPr>
        <w:annotationRef/>
      </w:r>
      <w:r>
        <w:t>Although there are currently 144 + leads in Salesforce, in late December/early Jan. I intend to note those I know have already gone through the full program to heat pumps, which will lessen the number.  This info will be noted in the Description section unless I learn of a better place to note it.  I will also be adding leads that I know about that are not yet captured in Salesforce.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E692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E8C255" w16cex:dateUtc="2023-11-22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E69293" w16cid:durableId="69E8C2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509C" w14:textId="77777777" w:rsidR="00503E4E" w:rsidRDefault="00503E4E">
      <w:r>
        <w:separator/>
      </w:r>
    </w:p>
  </w:endnote>
  <w:endnote w:type="continuationSeparator" w:id="0">
    <w:p w14:paraId="372B331F" w14:textId="77777777" w:rsidR="00503E4E" w:rsidRDefault="0050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sans-serif">
    <w:altName w:val="Arial"/>
    <w:panose1 w:val="020B0604020202020204"/>
    <w:charset w:val="00"/>
    <w:family w:val="roman"/>
    <w:notTrueType/>
    <w:pitch w:val="default"/>
  </w:font>
  <w:font w:name="Arial;Helvetica;sans-serif">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FBC8" w14:textId="77777777" w:rsidR="00E70143" w:rsidRDefault="00E7014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F1D5" w14:textId="77777777" w:rsidR="00503E4E" w:rsidRDefault="00503E4E">
      <w:r>
        <w:separator/>
      </w:r>
    </w:p>
  </w:footnote>
  <w:footnote w:type="continuationSeparator" w:id="0">
    <w:p w14:paraId="58295C61" w14:textId="77777777" w:rsidR="00503E4E" w:rsidRDefault="0050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9F1F" w14:textId="77777777" w:rsidR="00E70143" w:rsidRDefault="00E7014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824"/>
    <w:multiLevelType w:val="hybridMultilevel"/>
    <w:tmpl w:val="8C7258FE"/>
    <w:styleLink w:val="Numbered"/>
    <w:lvl w:ilvl="0" w:tplc="9D0425B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573C1FFC">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8EDE7CC0">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tplc="62A6F64A">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296C9650">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2A20FD6">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tplc="E2C4FCA2">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754A0964">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BC72EB46">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317EEE"/>
    <w:multiLevelType w:val="multilevel"/>
    <w:tmpl w:val="887C7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FA35BA"/>
    <w:multiLevelType w:val="multilevel"/>
    <w:tmpl w:val="E42850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166F42C4"/>
    <w:multiLevelType w:val="multilevel"/>
    <w:tmpl w:val="42AAD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9E316C"/>
    <w:multiLevelType w:val="multilevel"/>
    <w:tmpl w:val="5C42B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B5329E"/>
    <w:multiLevelType w:val="hybridMultilevel"/>
    <w:tmpl w:val="49F2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D6BF2"/>
    <w:multiLevelType w:val="multilevel"/>
    <w:tmpl w:val="C5D8A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266715"/>
    <w:multiLevelType w:val="multilevel"/>
    <w:tmpl w:val="B8400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4D0E47"/>
    <w:multiLevelType w:val="multilevel"/>
    <w:tmpl w:val="D728A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EE4835"/>
    <w:multiLevelType w:val="multilevel"/>
    <w:tmpl w:val="A2DA165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71883CF8"/>
    <w:multiLevelType w:val="multilevel"/>
    <w:tmpl w:val="7924E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9B1E2F"/>
    <w:multiLevelType w:val="multilevel"/>
    <w:tmpl w:val="52E20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603D3E"/>
    <w:multiLevelType w:val="hybridMultilevel"/>
    <w:tmpl w:val="8C7258FE"/>
    <w:numStyleLink w:val="Numbered"/>
  </w:abstractNum>
  <w:num w:numId="1" w16cid:durableId="99881698">
    <w:abstractNumId w:val="0"/>
  </w:num>
  <w:num w:numId="2" w16cid:durableId="878320843">
    <w:abstractNumId w:val="12"/>
  </w:num>
  <w:num w:numId="3" w16cid:durableId="570774343">
    <w:abstractNumId w:val="2"/>
  </w:num>
  <w:num w:numId="4" w16cid:durableId="94710742">
    <w:abstractNumId w:val="9"/>
  </w:num>
  <w:num w:numId="5" w16cid:durableId="260338514">
    <w:abstractNumId w:val="10"/>
  </w:num>
  <w:num w:numId="6" w16cid:durableId="1473524044">
    <w:abstractNumId w:val="1"/>
  </w:num>
  <w:num w:numId="7" w16cid:durableId="2067293994">
    <w:abstractNumId w:val="4"/>
  </w:num>
  <w:num w:numId="8" w16cid:durableId="304701248">
    <w:abstractNumId w:val="7"/>
  </w:num>
  <w:num w:numId="9" w16cid:durableId="1492718987">
    <w:abstractNumId w:val="6"/>
  </w:num>
  <w:num w:numId="10" w16cid:durableId="646013785">
    <w:abstractNumId w:val="3"/>
  </w:num>
  <w:num w:numId="11" w16cid:durableId="156575780">
    <w:abstractNumId w:val="11"/>
  </w:num>
  <w:num w:numId="12" w16cid:durableId="675615847">
    <w:abstractNumId w:val="8"/>
  </w:num>
  <w:num w:numId="13" w16cid:durableId="14392522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ynthia Boettner">
    <w15:presenceInfo w15:providerId="Windows Live" w15:userId="b91ec107d681c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143"/>
    <w:rsid w:val="0013090D"/>
    <w:rsid w:val="00274956"/>
    <w:rsid w:val="00503E4E"/>
    <w:rsid w:val="00757121"/>
    <w:rsid w:val="00E701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CB85EA4"/>
  <w15:docId w15:val="{4C445957-72E3-C84C-82E9-EC020CE9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BodyText">
    <w:name w:val="Body Text"/>
    <w:basedOn w:val="Normal"/>
    <w:link w:val="BodyTextChar"/>
    <w:rsid w:val="0013090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40" w:line="276" w:lineRule="auto"/>
    </w:pPr>
    <w:rPr>
      <w:rFonts w:ascii="Liberation Serif" w:eastAsia="NSimSun" w:hAnsi="Liberation Serif" w:cs="Lucida Sans"/>
      <w:kern w:val="2"/>
      <w:bdr w:val="none" w:sz="0" w:space="0" w:color="auto"/>
      <w:lang w:eastAsia="zh-CN" w:bidi="hi-IN"/>
    </w:rPr>
  </w:style>
  <w:style w:type="character" w:customStyle="1" w:styleId="BodyTextChar">
    <w:name w:val="Body Text Char"/>
    <w:basedOn w:val="DefaultParagraphFont"/>
    <w:link w:val="BodyText"/>
    <w:rsid w:val="0013090D"/>
    <w:rPr>
      <w:rFonts w:ascii="Liberation Serif" w:eastAsia="NSimSun" w:hAnsi="Liberation Serif" w:cs="Lucida Sans"/>
      <w:kern w:val="2"/>
      <w:sz w:val="24"/>
      <w:szCs w:val="24"/>
      <w:bdr w:val="none" w:sz="0" w:space="0" w:color="auto"/>
      <w:lang w:bidi="hi-IN"/>
    </w:rPr>
  </w:style>
  <w:style w:type="paragraph" w:customStyle="1" w:styleId="TableContents">
    <w:name w:val="Table Contents"/>
    <w:basedOn w:val="Normal"/>
    <w:qFormat/>
    <w:rsid w:val="0013090D"/>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Liberation Serif" w:eastAsia="NSimSun" w:hAnsi="Liberation Serif" w:cs="Lucida Sans"/>
      <w:kern w:val="2"/>
      <w:bdr w:val="none" w:sz="0" w:space="0" w:color="auto"/>
      <w:lang w:eastAsia="zh-CN" w:bidi="hi-IN"/>
    </w:rPr>
  </w:style>
  <w:style w:type="character" w:styleId="CommentReference">
    <w:name w:val="annotation reference"/>
    <w:basedOn w:val="DefaultParagraphFont"/>
    <w:uiPriority w:val="99"/>
    <w:semiHidden/>
    <w:unhideWhenUsed/>
    <w:rsid w:val="0013090D"/>
    <w:rPr>
      <w:sz w:val="16"/>
      <w:szCs w:val="16"/>
    </w:rPr>
  </w:style>
  <w:style w:type="paragraph" w:styleId="CommentText">
    <w:name w:val="annotation text"/>
    <w:basedOn w:val="Normal"/>
    <w:link w:val="CommentTextChar"/>
    <w:uiPriority w:val="99"/>
    <w:unhideWhenUsed/>
    <w:rsid w:val="0013090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sz w:val="20"/>
      <w:szCs w:val="20"/>
      <w:bdr w:val="none" w:sz="0" w:space="0" w:color="auto"/>
      <w:lang w:val="en"/>
    </w:rPr>
  </w:style>
  <w:style w:type="character" w:customStyle="1" w:styleId="CommentTextChar">
    <w:name w:val="Comment Text Char"/>
    <w:basedOn w:val="DefaultParagraphFont"/>
    <w:link w:val="CommentText"/>
    <w:uiPriority w:val="99"/>
    <w:rsid w:val="0013090D"/>
    <w:rPr>
      <w:rFonts w:ascii="Arial" w:eastAsia="Arial" w:hAnsi="Arial" w:cs="Arial"/>
      <w:bdr w:val="none" w:sz="0" w:space="0" w:color="auto"/>
      <w:lang w:val="en" w:eastAsia="en-US"/>
    </w:rPr>
  </w:style>
  <w:style w:type="paragraph" w:styleId="ListParagraph">
    <w:name w:val="List Paragraph"/>
    <w:basedOn w:val="Normal"/>
    <w:uiPriority w:val="34"/>
    <w:qFormat/>
    <w:rsid w:val="0013090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Arial" w:eastAsia="Arial" w:hAnsi="Arial" w:cs="Arial"/>
      <w:sz w:val="22"/>
      <w:szCs w:val="22"/>
      <w:bdr w:val="none" w:sz="0" w:space="0" w:color="auto"/>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oclean.masscec.com/clean-energy-solutions/solar-electricity/?utm_medium=cpc&amp;utm_source=google&amp;utm_campaign=brand" TargetMode="External"/><Relationship Id="rId13" Type="http://schemas.openxmlformats.org/officeDocument/2006/relationships/hyperlink" Target="https://news.energysage.com/power-purchase-agreements-overview/?_gl=1*h2b5k9*_gcl_au*MTYwOTk3Njk1Ny4xNjg3MjkxNDI4"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www.mass.gov/info-details/frequently-asked-questions-about-solar-products-for-customers-in-massachusetts" TargetMode="External"/><Relationship Id="rId12" Type="http://schemas.openxmlformats.org/officeDocument/2006/relationships/hyperlink" Target="https://colonialpowergroup.com/shelburne/" TargetMode="External"/><Relationship Id="rId17" Type="http://schemas.openxmlformats.org/officeDocument/2006/relationships/hyperlink" Target="https://mass-eoeea.maps.arcgis.com/apps/MapSeries/index.html?appid=535e4419dc0545be980545a0eeaf9b53"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eversource.com/content/residential/account-billing/payment-assistance/discount-rate"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municipal-aggrega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mmunitysolar.energysage.com/projects?utility_slug=eversource-west&amp;zip_code=01370" TargetMode="External"/><Relationship Id="rId23" Type="http://schemas.openxmlformats.org/officeDocument/2006/relationships/footer" Target="footer1.xml"/><Relationship Id="rId10" Type="http://schemas.openxmlformats.org/officeDocument/2006/relationships/hyperlink" Target="https://goclean.masscec.com/article/buying-clean-electricity-options-in-massachusetts/?utm_medium=cpc&amp;utm_source=google&amp;utm_campaign=buyingcleanenergy"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s://news.energysage.com/tesla-solar-renting-comparison/" TargetMode="External"/><Relationship Id="rId14" Type="http://schemas.openxmlformats.org/officeDocument/2006/relationships/hyperlink" Target="https://communitysolar.energysage.com/" TargetMode="External"/><Relationship Id="rId22"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2109</Words>
  <Characters>11181</Characters>
  <Application>Microsoft Office Word</Application>
  <DocSecurity>0</DocSecurity>
  <Lines>349</Lines>
  <Paragraphs>402</Paragraphs>
  <ScaleCrop>false</ScaleCrop>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Johnson</cp:lastModifiedBy>
  <cp:revision>3</cp:revision>
  <dcterms:created xsi:type="dcterms:W3CDTF">2024-01-19T00:06:00Z</dcterms:created>
  <dcterms:modified xsi:type="dcterms:W3CDTF">2024-01-22T17:28:00Z</dcterms:modified>
</cp:coreProperties>
</file>